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6" w:rsidRDefault="00B01026" w:rsidP="00B01026">
      <w:pPr>
        <w:jc w:val="center"/>
        <w:rPr>
          <w:rFonts w:ascii="Verdana" w:hAnsi="Verdana" w:cs="Arial"/>
          <w:b/>
          <w:bCs/>
          <w:color w:val="000000"/>
          <w:sz w:val="28"/>
          <w:szCs w:val="28"/>
        </w:rPr>
      </w:pPr>
      <w:r>
        <w:rPr>
          <w:rFonts w:ascii="Verdana" w:hAnsi="Verdana" w:cs="Arial"/>
          <w:b/>
          <w:bCs/>
          <w:color w:val="000000"/>
          <w:sz w:val="28"/>
          <w:szCs w:val="28"/>
        </w:rPr>
        <w:t xml:space="preserve">disABILITY LINK – Legislative and Social Policy Report – </w:t>
      </w:r>
    </w:p>
    <w:p w:rsidR="0008660D" w:rsidRDefault="00AB1A4A" w:rsidP="00B01026">
      <w:pPr>
        <w:jc w:val="center"/>
        <w:rPr>
          <w:rFonts w:ascii="Verdana" w:hAnsi="Verdana" w:cs="Arial"/>
          <w:b/>
          <w:bCs/>
          <w:color w:val="000000"/>
          <w:sz w:val="28"/>
          <w:szCs w:val="28"/>
        </w:rPr>
      </w:pPr>
      <w:r>
        <w:rPr>
          <w:rFonts w:ascii="Verdana" w:hAnsi="Verdana" w:cs="Arial"/>
          <w:b/>
          <w:bCs/>
          <w:color w:val="000000"/>
          <w:sz w:val="28"/>
          <w:szCs w:val="28"/>
        </w:rPr>
        <w:t>July</w:t>
      </w:r>
      <w:r w:rsidR="0008660D">
        <w:rPr>
          <w:rFonts w:ascii="Verdana" w:hAnsi="Verdana" w:cs="Arial"/>
          <w:b/>
          <w:bCs/>
          <w:color w:val="000000"/>
          <w:sz w:val="28"/>
          <w:szCs w:val="28"/>
        </w:rPr>
        <w:t xml:space="preserve"> 2021</w:t>
      </w:r>
    </w:p>
    <w:p w:rsidR="0041065A" w:rsidRDefault="0041065A" w:rsidP="00B01026">
      <w:pPr>
        <w:jc w:val="center"/>
        <w:rPr>
          <w:rFonts w:ascii="Verdana" w:hAnsi="Verdana" w:cs="Arial"/>
          <w:b/>
          <w:bCs/>
          <w:color w:val="000000"/>
          <w:sz w:val="28"/>
          <w:szCs w:val="28"/>
        </w:rPr>
      </w:pPr>
    </w:p>
    <w:p w:rsidR="0041065A" w:rsidRDefault="0041065A" w:rsidP="0041065A">
      <w:pPr>
        <w:rPr>
          <w:rFonts w:ascii="Verdana" w:hAnsi="Verdana" w:cs="Arial"/>
          <w:color w:val="000000"/>
          <w:sz w:val="28"/>
          <w:szCs w:val="28"/>
        </w:rPr>
      </w:pPr>
      <w:r w:rsidRPr="0041065A">
        <w:rPr>
          <w:rFonts w:ascii="Verdana" w:hAnsi="Verdana" w:cs="Arial"/>
          <w:color w:val="000000"/>
          <w:sz w:val="28"/>
          <w:szCs w:val="28"/>
        </w:rPr>
        <w:t>There is never a shortage of items to include in a legislative and policy report on disability rights, after all, there are people with disabilities in all areas of life, we are the most diverse of all so-called minority groups, anything that impacts anyone is likely to impact people with disabilities.  For the sake of brevity,</w:t>
      </w:r>
      <w:r w:rsidR="002B29DD">
        <w:rPr>
          <w:rFonts w:ascii="Verdana" w:hAnsi="Verdana" w:cs="Arial"/>
          <w:color w:val="000000"/>
          <w:sz w:val="28"/>
          <w:szCs w:val="28"/>
        </w:rPr>
        <w:t xml:space="preserve"> disABILITY LINK will </w:t>
      </w:r>
      <w:r w:rsidRPr="0041065A">
        <w:rPr>
          <w:rFonts w:ascii="Verdana" w:hAnsi="Verdana" w:cs="Arial"/>
          <w:color w:val="000000"/>
          <w:sz w:val="28"/>
          <w:szCs w:val="28"/>
        </w:rPr>
        <w:t xml:space="preserve">addressing a couple of pieces of legislation that </w:t>
      </w:r>
      <w:r w:rsidR="001877F7">
        <w:rPr>
          <w:rFonts w:ascii="Verdana" w:hAnsi="Verdana" w:cs="Arial"/>
          <w:color w:val="000000"/>
          <w:sz w:val="28"/>
          <w:szCs w:val="28"/>
        </w:rPr>
        <w:t xml:space="preserve">affect the disability community. </w:t>
      </w:r>
      <w:r w:rsidR="001877F7" w:rsidRPr="000B34DD">
        <w:rPr>
          <w:rFonts w:ascii="Verdana" w:hAnsi="Verdana" w:cs="Arial"/>
          <w:color w:val="000000"/>
          <w:sz w:val="28"/>
          <w:szCs w:val="28"/>
        </w:rPr>
        <w:t>We can provide education on how it affects the community but cannot lobby for any type of bill.</w:t>
      </w:r>
      <w:r w:rsidR="00851502">
        <w:rPr>
          <w:rFonts w:ascii="Verdana" w:hAnsi="Verdana" w:cs="Arial"/>
          <w:color w:val="000000"/>
          <w:sz w:val="28"/>
          <w:szCs w:val="28"/>
        </w:rPr>
        <w:t xml:space="preserve"> </w:t>
      </w:r>
    </w:p>
    <w:p w:rsidR="00851502" w:rsidRDefault="00851502" w:rsidP="0041065A">
      <w:pPr>
        <w:rPr>
          <w:rFonts w:ascii="Verdana" w:hAnsi="Verdana" w:cs="Arial"/>
          <w:color w:val="000000"/>
          <w:sz w:val="28"/>
          <w:szCs w:val="28"/>
        </w:rPr>
      </w:pPr>
    </w:p>
    <w:p w:rsidR="00851502" w:rsidRDefault="00851502" w:rsidP="0041065A">
      <w:pPr>
        <w:rPr>
          <w:rFonts w:ascii="Verdana" w:hAnsi="Verdana" w:cs="Arial"/>
          <w:b/>
          <w:color w:val="000000"/>
          <w:sz w:val="28"/>
          <w:szCs w:val="28"/>
        </w:rPr>
      </w:pPr>
      <w:r w:rsidRPr="00AE4B7D">
        <w:rPr>
          <w:rFonts w:ascii="Verdana" w:hAnsi="Verdana" w:cs="Arial"/>
          <w:b/>
          <w:color w:val="000000"/>
          <w:sz w:val="28"/>
          <w:szCs w:val="28"/>
        </w:rPr>
        <w:t>COVID-19</w:t>
      </w:r>
      <w:r w:rsidR="00AE4B7D">
        <w:rPr>
          <w:rFonts w:ascii="Verdana" w:hAnsi="Verdana" w:cs="Arial"/>
          <w:b/>
          <w:color w:val="000000"/>
          <w:sz w:val="28"/>
          <w:szCs w:val="28"/>
        </w:rPr>
        <w:t xml:space="preserve"> </w:t>
      </w:r>
    </w:p>
    <w:p w:rsidR="00851502" w:rsidRDefault="00AE4B7D" w:rsidP="0041065A">
      <w:pPr>
        <w:rPr>
          <w:rFonts w:ascii="Verdana" w:hAnsi="Verdana" w:cs="Arial"/>
          <w:color w:val="000000"/>
          <w:sz w:val="28"/>
          <w:szCs w:val="28"/>
        </w:rPr>
      </w:pPr>
      <w:r>
        <w:rPr>
          <w:rFonts w:ascii="Verdana" w:hAnsi="Verdana" w:cs="Arial"/>
          <w:color w:val="000000"/>
          <w:sz w:val="28"/>
          <w:szCs w:val="28"/>
        </w:rPr>
        <w:t>Key highlights for the proposed COVID-19 relief package. At the time of this report, it had not been signed by President Trump (December, 2020).</w:t>
      </w:r>
    </w:p>
    <w:p w:rsidR="00AE4B7D" w:rsidRDefault="00E20FFC" w:rsidP="0041065A">
      <w:pPr>
        <w:rPr>
          <w:rFonts w:ascii="Verdana" w:hAnsi="Verdana" w:cs="Arial"/>
          <w:color w:val="000000"/>
          <w:sz w:val="28"/>
          <w:szCs w:val="28"/>
        </w:rPr>
      </w:pPr>
      <w:hyperlink r:id="rId6" w:history="1">
        <w:r w:rsidR="00AE4B7D" w:rsidRPr="00910618">
          <w:rPr>
            <w:rStyle w:val="Hyperlink"/>
            <w:rFonts w:ascii="Verdana" w:hAnsi="Verdana" w:cs="Arial"/>
            <w:sz w:val="28"/>
            <w:szCs w:val="28"/>
          </w:rPr>
          <w:t>https://rules.house.gov/sites/democrats.rules.house.gov/files/BILLS-116HR133SA-RCP-116-68.pdf</w:t>
        </w:r>
      </w:hyperlink>
    </w:p>
    <w:p w:rsidR="00AE4B7D" w:rsidRDefault="00AE4B7D" w:rsidP="0041065A">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sidRPr="00AE4B7D">
        <w:rPr>
          <w:rFonts w:ascii="Verdana" w:hAnsi="Verdana" w:cs="Arial"/>
          <w:b/>
          <w:bCs/>
          <w:color w:val="000000"/>
          <w:sz w:val="28"/>
          <w:szCs w:val="28"/>
        </w:rPr>
        <w:t>Appropriations - $1.4 trillion</w:t>
      </w: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Main bill (Rules Committee Print): </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MFP extension starts on p 2244; extended through FY 2023 for $450M/year (pro-rated for FY 2021), several changes including that the institutional residency is changed from 90-60 days, there are some additional state requirements, and there are updated best practice and MACPAC reports</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Extension of spousal impoverishment protections start on 2254 – through FY 2023 </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It does not </w:t>
      </w:r>
      <w:r>
        <w:rPr>
          <w:rFonts w:ascii="Verdana" w:hAnsi="Verdana" w:cs="Arial"/>
          <w:color w:val="000000"/>
          <w:sz w:val="28"/>
          <w:szCs w:val="28"/>
        </w:rPr>
        <w:t>appear that</w:t>
      </w:r>
      <w:r w:rsidRPr="00AE4B7D">
        <w:rPr>
          <w:rFonts w:ascii="Verdana" w:hAnsi="Verdana" w:cs="Arial"/>
          <w:color w:val="000000"/>
          <w:sz w:val="28"/>
          <w:szCs w:val="28"/>
        </w:rPr>
        <w:t xml:space="preserve"> the EVV language made it in there</w:t>
      </w:r>
    </w:p>
    <w:p w:rsidR="00AE4B7D" w:rsidRPr="00AE4B7D" w:rsidRDefault="00AE4B7D" w:rsidP="00AE4B7D">
      <w:pPr>
        <w:rPr>
          <w:rFonts w:ascii="Verdana" w:hAnsi="Verdana" w:cs="Arial"/>
          <w:color w:val="000000"/>
          <w:sz w:val="28"/>
          <w:szCs w:val="28"/>
        </w:rPr>
      </w:pP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See each section/explanatory statement: </w:t>
      </w:r>
      <w:hyperlink r:id="rId7" w:history="1">
        <w:r w:rsidRPr="00AE4B7D">
          <w:rPr>
            <w:rStyle w:val="Hyperlink"/>
            <w:rFonts w:ascii="Verdana" w:hAnsi="Verdana" w:cs="Arial"/>
            <w:sz w:val="28"/>
            <w:szCs w:val="28"/>
          </w:rPr>
          <w:t>https://rules.house.gov/bill/116/hr-133-sa</w:t>
        </w:r>
      </w:hyperlink>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Independent Living is in Division H, on P 173 – level funding: </w:t>
      </w:r>
      <w:hyperlink r:id="rId8" w:history="1">
        <w:r w:rsidRPr="00AE4B7D">
          <w:rPr>
            <w:rStyle w:val="Hyperlink"/>
            <w:rFonts w:ascii="Verdana" w:hAnsi="Verdana" w:cs="Arial"/>
            <w:sz w:val="28"/>
            <w:szCs w:val="28"/>
          </w:rPr>
          <w:t>https://docs.house.gov/billsthisweek/20201221/BILLS-116RCP68-JES-DIVISION-H.pdf</w:t>
        </w:r>
      </w:hyperlink>
    </w:p>
    <w:p w:rsidR="00AE4B7D" w:rsidRPr="00AE4B7D" w:rsidRDefault="00AE4B7D" w:rsidP="00AE4B7D">
      <w:pPr>
        <w:rPr>
          <w:rFonts w:ascii="Verdana" w:hAnsi="Verdana" w:cs="Arial"/>
          <w:color w:val="000000"/>
          <w:sz w:val="28"/>
          <w:szCs w:val="28"/>
        </w:rPr>
      </w:pP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A division-by-division summary is here: </w:t>
      </w:r>
      <w:hyperlink r:id="rId9" w:history="1">
        <w:r w:rsidRPr="00AE4B7D">
          <w:rPr>
            <w:rStyle w:val="Hyperlink"/>
            <w:rFonts w:ascii="Verdana" w:hAnsi="Verdana" w:cs="Arial"/>
            <w:sz w:val="28"/>
            <w:szCs w:val="28"/>
          </w:rPr>
          <w:t>https://appropriations.house.gov/sites/democrats.appropriations.house.gov/files/Summary%20of%20H.R.%20133%20Appropriations%20Provisions.pdf</w:t>
        </w:r>
      </w:hyperlink>
    </w:p>
    <w:p w:rsidR="00AE4B7D" w:rsidRPr="00AE4B7D" w:rsidRDefault="00AE4B7D" w:rsidP="00AE4B7D">
      <w:pPr>
        <w:rPr>
          <w:rFonts w:ascii="Verdana" w:hAnsi="Verdana" w:cs="Arial"/>
          <w:color w:val="000000"/>
          <w:sz w:val="28"/>
          <w:szCs w:val="28"/>
        </w:rPr>
      </w:pPr>
    </w:p>
    <w:p w:rsidR="00AE4B7D" w:rsidRPr="000B34DD" w:rsidRDefault="00AE4B7D" w:rsidP="00AE4B7D">
      <w:pPr>
        <w:numPr>
          <w:ilvl w:val="0"/>
          <w:numId w:val="16"/>
        </w:numPr>
        <w:rPr>
          <w:rStyle w:val="Hyperlink"/>
          <w:rFonts w:ascii="Verdana" w:hAnsi="Verdana" w:cs="Arial"/>
          <w:color w:val="000000"/>
          <w:sz w:val="28"/>
          <w:szCs w:val="28"/>
          <w:u w:val="none"/>
        </w:rPr>
      </w:pPr>
      <w:r w:rsidRPr="00AE4B7D">
        <w:rPr>
          <w:rFonts w:ascii="Verdana" w:hAnsi="Verdana" w:cs="Arial"/>
          <w:color w:val="000000"/>
          <w:sz w:val="28"/>
          <w:szCs w:val="28"/>
        </w:rPr>
        <w:t xml:space="preserve">A division-by-division summary of COVID-19 relief provisions is here: </w:t>
      </w:r>
      <w:hyperlink r:id="rId10" w:history="1">
        <w:r w:rsidRPr="00AE4B7D">
          <w:rPr>
            <w:rStyle w:val="Hyperlink"/>
            <w:rFonts w:ascii="Verdana" w:hAnsi="Verdana" w:cs="Arial"/>
            <w:sz w:val="28"/>
            <w:szCs w:val="28"/>
          </w:rPr>
          <w:t>https://appropriations.house.gov/sites/democrats.appropriations.house.gov/files/Summary%20of%20H.R.%20133%20Coronavirus%20Relief%20Provisions.pdf</w:t>
        </w:r>
      </w:hyperlink>
    </w:p>
    <w:p w:rsidR="000B34DD" w:rsidRDefault="000B34DD" w:rsidP="000B34DD">
      <w:pPr>
        <w:pStyle w:val="ListParagraph"/>
        <w:rPr>
          <w:rFonts w:ascii="Verdana" w:hAnsi="Verdana" w:cs="Arial"/>
          <w:color w:val="000000"/>
          <w:sz w:val="28"/>
          <w:szCs w:val="28"/>
        </w:rPr>
      </w:pPr>
    </w:p>
    <w:p w:rsidR="000B34DD" w:rsidRDefault="000B34DD" w:rsidP="000B34DD">
      <w:pPr>
        <w:pStyle w:val="NormalWeb"/>
        <w:spacing w:before="0" w:beforeAutospacing="0" w:after="375" w:afterAutospacing="0"/>
        <w:rPr>
          <w:rFonts w:ascii="Arial" w:hAnsi="Arial" w:cs="Arial"/>
          <w:color w:val="333333"/>
        </w:rPr>
      </w:pPr>
      <w:r>
        <w:rPr>
          <w:rFonts w:ascii="Verdana" w:hAnsi="Verdana" w:cs="Arial"/>
          <w:color w:val="333333"/>
          <w:sz w:val="28"/>
          <w:szCs w:val="28"/>
        </w:rPr>
        <w:t>In May of 2021,</w:t>
      </w:r>
      <w:r w:rsidRPr="004A1256">
        <w:rPr>
          <w:rFonts w:ascii="Verdana" w:hAnsi="Verdana" w:cs="Arial"/>
          <w:color w:val="333333"/>
          <w:sz w:val="28"/>
          <w:szCs w:val="28"/>
        </w:rPr>
        <w:t xml:space="preserve"> American Association </w:t>
      </w:r>
      <w:proofErr w:type="spellStart"/>
      <w:r w:rsidRPr="004A1256">
        <w:rPr>
          <w:rFonts w:ascii="Verdana" w:hAnsi="Verdana" w:cs="Arial"/>
          <w:color w:val="333333"/>
          <w:sz w:val="28"/>
          <w:szCs w:val="28"/>
        </w:rPr>
        <w:t>on</w:t>
      </w:r>
      <w:proofErr w:type="spellEnd"/>
      <w:r w:rsidRPr="004A1256">
        <w:rPr>
          <w:rFonts w:ascii="Verdana" w:hAnsi="Verdana" w:cs="Arial"/>
          <w:color w:val="333333"/>
          <w:sz w:val="28"/>
          <w:szCs w:val="28"/>
        </w:rPr>
        <w:t xml:space="preserve"> Health and Disability (AAHD) has released two research products that resulted from the AAHD Vaccine Hesitancy Survey Among Adults with Disabilities, a rapid, real-time online study of the perspectives of adults with disabilities on the COVID-19 Vaccine. Visit </w:t>
      </w:r>
      <w:hyperlink r:id="rId11" w:history="1">
        <w:r w:rsidRPr="004A1256">
          <w:rPr>
            <w:rStyle w:val="Hyperlink"/>
            <w:rFonts w:ascii="Verdana" w:eastAsiaTheme="majorEastAsia" w:hAnsi="Verdana" w:cs="Arial"/>
            <w:color w:val="345A9B"/>
            <w:sz w:val="28"/>
            <w:szCs w:val="28"/>
          </w:rPr>
          <w:t>aahd.us/dissemination/covid-19-and-vaccine-survey-project</w:t>
        </w:r>
      </w:hyperlink>
      <w:r w:rsidRPr="004A1256">
        <w:rPr>
          <w:rFonts w:ascii="Verdana" w:hAnsi="Verdana" w:cs="Arial"/>
          <w:color w:val="333333"/>
          <w:sz w:val="28"/>
          <w:szCs w:val="28"/>
        </w:rPr>
        <w:t> to view the Vaccine Hesitancy Summary of Findings Report and the COVID-19 Vaccine and Disability Survey Vaccine Hesitancy Among Adults w</w:t>
      </w:r>
      <w:r>
        <w:rPr>
          <w:rFonts w:ascii="Verdana" w:hAnsi="Verdana" w:cs="Arial"/>
          <w:color w:val="333333"/>
          <w:sz w:val="28"/>
          <w:szCs w:val="28"/>
        </w:rPr>
        <w:t xml:space="preserve">ith Disabilities Research Report. Georgia remains one of the states with the lowest vaccination rates, mostly in rural areas. disABILITY Link held two vaccination clinics at our CIL, inviting all consumers, friends and family </w:t>
      </w:r>
      <w:proofErr w:type="spellStart"/>
      <w:r>
        <w:rPr>
          <w:rFonts w:ascii="Verdana" w:hAnsi="Verdana" w:cs="Arial"/>
          <w:color w:val="333333"/>
          <w:sz w:val="28"/>
          <w:szCs w:val="28"/>
        </w:rPr>
        <w:t>membes</w:t>
      </w:r>
      <w:proofErr w:type="spellEnd"/>
      <w:r>
        <w:rPr>
          <w:rFonts w:ascii="Verdana" w:hAnsi="Verdana" w:cs="Arial"/>
          <w:color w:val="333333"/>
          <w:sz w:val="28"/>
          <w:szCs w:val="28"/>
        </w:rPr>
        <w:t>.</w:t>
      </w:r>
    </w:p>
    <w:p w:rsidR="000B34DD" w:rsidRPr="00AE4B7D" w:rsidRDefault="000B34DD" w:rsidP="000B34DD">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b/>
          <w:bCs/>
          <w:color w:val="000000"/>
          <w:sz w:val="28"/>
          <w:szCs w:val="28"/>
        </w:rPr>
      </w:pPr>
      <w:r w:rsidRPr="00AE4B7D">
        <w:rPr>
          <w:rFonts w:ascii="Verdana" w:hAnsi="Verdana" w:cs="Arial"/>
          <w:b/>
          <w:bCs/>
          <w:color w:val="000000"/>
          <w:sz w:val="28"/>
          <w:szCs w:val="28"/>
        </w:rPr>
        <w:t>COVID - $900 billion</w:t>
      </w:r>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Pr>
          <w:rFonts w:ascii="Verdana" w:hAnsi="Verdana" w:cs="Arial"/>
          <w:color w:val="000000"/>
          <w:sz w:val="28"/>
          <w:szCs w:val="28"/>
        </w:rPr>
        <w:t>The</w:t>
      </w:r>
      <w:r w:rsidRPr="00AE4B7D">
        <w:rPr>
          <w:rFonts w:ascii="Verdana" w:hAnsi="Verdana" w:cs="Arial"/>
          <w:color w:val="000000"/>
          <w:sz w:val="28"/>
          <w:szCs w:val="28"/>
        </w:rPr>
        <w:t xml:space="preserve"> LTSS/HCBS provisions were removed. The package does not address any of the disability-specific pieces </w:t>
      </w:r>
      <w:r>
        <w:rPr>
          <w:rFonts w:ascii="Verdana" w:hAnsi="Verdana" w:cs="Arial"/>
          <w:color w:val="000000"/>
          <w:sz w:val="28"/>
          <w:szCs w:val="28"/>
        </w:rPr>
        <w:t xml:space="preserve">NCIL had </w:t>
      </w:r>
      <w:r w:rsidRPr="00AE4B7D">
        <w:rPr>
          <w:rFonts w:ascii="Verdana" w:hAnsi="Verdana" w:cs="Arial"/>
          <w:color w:val="000000"/>
          <w:sz w:val="28"/>
          <w:szCs w:val="28"/>
        </w:rPr>
        <w:t>been pushing.</w:t>
      </w:r>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sidRPr="00AE4B7D">
        <w:rPr>
          <w:rFonts w:ascii="Verdana" w:hAnsi="Verdana" w:cs="Arial"/>
          <w:color w:val="000000"/>
          <w:sz w:val="28"/>
          <w:szCs w:val="28"/>
        </w:rPr>
        <w:t>The package includes (this is NOT a complete list):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Housing provisions include $25B in federal rental assistance to be distributed by state and local governments, including $800m which is reserved for Native American housing entities; also an extension of the CDC eviction moratorium through January 31, 2021</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Transportation- $45b including airlines, transit, state highways Amtrak ($1b), and others</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funding for procurement and distribution of vaccines, including to make sure it’s available at no charge</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$22b to states for testing, tracing, and COVID mitigation programs</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a second round of stimulus payments ($600/individual, including $600/child dependent. It excludes adult dependents. It expands these payments to include mixed-status households, but it still requires at least one member to have a social security number, so immigrant families without one member with a SSN are still excluded.)</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$82b for schools – need to review this when the language is released to see how much is contingent on reopening</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expands unemployment insurance in various ways (an additional $300/week for everyone receiving unemployment through March, and extending and expanding other provisions as well)</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expands PPP eligibility and funds for other small business support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$13b to increase SNAP benefits by 15% and provide additional funding for food banks and senior nutrition programs; however it does not expand eligibility for SNAP</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it converts the $10b loan for the USPS in the CARES Act into direct funding without requiring repayment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$10b in emergency funds for the child care sector</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$7b for broadband-related programs, including emergency funds for low-income families to access broadband, telehealth funding, and a $1b tribal broadband fund</w:t>
      </w:r>
    </w:p>
    <w:p w:rsidR="00AE4B7D" w:rsidRPr="0041065A" w:rsidRDefault="00AE4B7D" w:rsidP="0041065A">
      <w:pPr>
        <w:rPr>
          <w:rFonts w:ascii="Verdana" w:hAnsi="Verdana" w:cs="Arial"/>
          <w:color w:val="000000"/>
          <w:sz w:val="28"/>
          <w:szCs w:val="28"/>
        </w:rPr>
      </w:pPr>
      <w:r w:rsidRPr="00AE4B7D">
        <w:rPr>
          <w:rFonts w:ascii="Verdana" w:hAnsi="Verdana" w:cs="Arial"/>
          <w:color w:val="000000"/>
          <w:sz w:val="28"/>
          <w:szCs w:val="28"/>
        </w:rPr>
        <w:t>(</w:t>
      </w:r>
      <w:r>
        <w:rPr>
          <w:rFonts w:ascii="Verdana" w:hAnsi="Verdana" w:cs="Arial"/>
          <w:color w:val="000000"/>
          <w:sz w:val="28"/>
          <w:szCs w:val="28"/>
        </w:rPr>
        <w:t xml:space="preserve">Credit given to </w:t>
      </w:r>
      <w:r w:rsidRPr="00AE4B7D">
        <w:rPr>
          <w:rFonts w:ascii="Verdana" w:hAnsi="Verdana" w:cs="Arial"/>
          <w:color w:val="000000"/>
          <w:sz w:val="28"/>
          <w:szCs w:val="28"/>
        </w:rPr>
        <w:t>Lindsay</w:t>
      </w:r>
      <w:r>
        <w:rPr>
          <w:rFonts w:ascii="Verdana" w:hAnsi="Verdana" w:cs="Arial"/>
          <w:color w:val="000000"/>
          <w:sz w:val="28"/>
          <w:szCs w:val="28"/>
        </w:rPr>
        <w:t xml:space="preserve"> Baran, Policy Analyst for NCIL for providing this breakdown</w:t>
      </w:r>
      <w:r w:rsidRPr="00AE4B7D">
        <w:rPr>
          <w:rFonts w:ascii="Verdana" w:hAnsi="Verdana" w:cs="Arial"/>
          <w:color w:val="000000"/>
          <w:sz w:val="28"/>
          <w:szCs w:val="28"/>
        </w:rPr>
        <w:t>)</w:t>
      </w:r>
    </w:p>
    <w:p w:rsidR="0041065A" w:rsidRDefault="0041065A" w:rsidP="0041065A">
      <w:pPr>
        <w:rPr>
          <w:rFonts w:ascii="Verdana" w:hAnsi="Verdana" w:cs="Arial"/>
          <w:b/>
          <w:bCs/>
          <w:color w:val="000000"/>
          <w:sz w:val="28"/>
          <w:szCs w:val="28"/>
        </w:rPr>
      </w:pPr>
    </w:p>
    <w:p w:rsidR="00116385" w:rsidRPr="00F52E7E" w:rsidRDefault="00116385" w:rsidP="00116385">
      <w:pPr>
        <w:pStyle w:val="Heading1"/>
        <w:spacing w:after="240" w:line="286" w:lineRule="auto"/>
        <w:rPr>
          <w:rFonts w:ascii="Verdana" w:hAnsi="Verdana"/>
          <w:sz w:val="28"/>
          <w:szCs w:val="28"/>
        </w:rPr>
      </w:pPr>
      <w:bookmarkStart w:id="0" w:name="_Toc11656962"/>
      <w:r w:rsidRPr="00F52E7E">
        <w:rPr>
          <w:rFonts w:ascii="Verdana" w:hAnsi="Verdana"/>
          <w:sz w:val="28"/>
          <w:szCs w:val="28"/>
        </w:rPr>
        <w:t>The Independent Living Program</w:t>
      </w:r>
      <w:bookmarkEnd w:id="0"/>
    </w:p>
    <w:p w:rsidR="005A0501" w:rsidRPr="00F52E7E" w:rsidRDefault="00116385" w:rsidP="00727445">
      <w:pPr>
        <w:rPr>
          <w:rFonts w:ascii="Verdana" w:hAnsi="Verdana"/>
          <w:sz w:val="28"/>
          <w:szCs w:val="28"/>
        </w:rPr>
      </w:pPr>
      <w:r w:rsidRPr="00F52E7E">
        <w:rPr>
          <w:rFonts w:ascii="Verdana" w:hAnsi="Verdana"/>
          <w:sz w:val="28"/>
          <w:szCs w:val="28"/>
        </w:rPr>
        <w:t xml:space="preserve">We continue to work toward increasing funding for Centers for Independent Living both statewide and nationally. We participate in initiatives with NCIL and APRIL organizations. </w:t>
      </w:r>
      <w:r w:rsidR="00727445" w:rsidRPr="00F52E7E">
        <w:rPr>
          <w:rFonts w:ascii="Verdana" w:hAnsi="Verdana"/>
          <w:sz w:val="28"/>
          <w:szCs w:val="28"/>
        </w:rPr>
        <w:t xml:space="preserve">GVRA cut funding drastically to CILS. The CIL and SILC are working together to organize a letter to be sent out. </w:t>
      </w:r>
    </w:p>
    <w:p w:rsidR="00727445" w:rsidRPr="00F52E7E" w:rsidRDefault="00727445" w:rsidP="00727445">
      <w:pPr>
        <w:rPr>
          <w:rFonts w:ascii="Verdana" w:hAnsi="Verdana"/>
          <w:sz w:val="28"/>
          <w:szCs w:val="28"/>
        </w:rPr>
      </w:pPr>
      <w:r w:rsidRPr="00F52E7E">
        <w:rPr>
          <w:rFonts w:ascii="Verdana" w:hAnsi="Verdana"/>
          <w:sz w:val="28"/>
          <w:szCs w:val="28"/>
        </w:rPr>
        <w:t>Congress gave Centers for Independent Living (CILs) $85 million. They did this in the CARES (Coronavirus Aid, Relief, and Economic Security) Act. This money was to help respond to the COVID-19 pandemic. NCIL advocated with the Independent Living Administration (ILA). We educated Congress. We said CILs need funding to meet disabled people’s needs during COVID-19. We are grateful to Congress for this funding. And we are already seeing CILs make an impact in their communities.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However, this funding was only for CILs that receive a Part C grant. Some CILs only get Part B or state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The federal government gives Part C funding directly to CILs. The federal government gives Part B funding to the state. Some CILs then get Part B funding from the state. CILs that get only Part B or other state funding could not get the new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States are now working on their budgets. Many states are facing budget gaps. Many have less money coming in than they need. Some states are proposing cuts to funding for Independent Living. These cuts would be harmful to CILs that rely on state funding.</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CILs need more funding to provide all the core services to all who need them. NCIL figured out that the Independent Living program needs $200 million more. This needs to include more funding for both Part C and Part B.</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CILs are organizations. People with disabilities run them. They believe all people with disabilities are valuable. They believe we should be able to participate fully in our communities. CILs help people move out of institutions. They help people move into the community. CILs advocate for people with disabilities facing discrimination. This can be discrimination in employment or education. It can be discrimination in housing, transportation, healthcare, and more. CILs help people in all these areas and more. This helps people with disabilities have more opportunities.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Statewide Independent Living Councils (SILCs) work closely with CILs. They develop the state’s independent living network and services plan. When needs are not being met, they figure out how to address them. More money would help states put those plans into action. More money would help expand the network of CILs. It would help the network address the states’ needs and priorities.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The Independent Living Program has made a big impact in the US. It has impacted the long term care system. It has improved home and community based services (HCBS) delivery. And it has affected transition services for youth. Most CILs also find other problems in their communities. They come up with plans to deal with the problems. They work with decision-makers to put the plans into action. CILs also help fill gaps between other programs.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The Independent Living Program has not had enough money for a long time. Giving money to Centers for Independent Living makes sense. There is an increasing demand for Independent Living services. This $200 million request will help meet that need.</w:t>
      </w:r>
    </w:p>
    <w:p w:rsidR="00727445" w:rsidRPr="00F52E7E" w:rsidRDefault="00727445" w:rsidP="00727445">
      <w:pPr>
        <w:rPr>
          <w:rFonts w:ascii="Verdana" w:hAnsi="Verdana"/>
          <w:sz w:val="28"/>
          <w:szCs w:val="28"/>
        </w:rPr>
      </w:pPr>
    </w:p>
    <w:p w:rsidR="00B01026" w:rsidRPr="00F52E7E" w:rsidRDefault="00B01026" w:rsidP="00B01026">
      <w:pPr>
        <w:jc w:val="center"/>
        <w:rPr>
          <w:rFonts w:ascii="Verdana" w:hAnsi="Verdana" w:cs="Arial"/>
          <w:color w:val="000000"/>
          <w:sz w:val="28"/>
          <w:szCs w:val="28"/>
        </w:rPr>
      </w:pPr>
    </w:p>
    <w:p w:rsidR="00727445" w:rsidRPr="00F52E7E" w:rsidRDefault="00727445" w:rsidP="00727445">
      <w:pPr>
        <w:pStyle w:val="Heading1"/>
        <w:rPr>
          <w:rFonts w:ascii="Verdana" w:hAnsi="Verdana"/>
          <w:sz w:val="28"/>
          <w:szCs w:val="28"/>
        </w:rPr>
      </w:pPr>
      <w:bookmarkStart w:id="1" w:name="_Toc45879121"/>
      <w:r w:rsidRPr="00F52E7E">
        <w:rPr>
          <w:rFonts w:ascii="Verdana" w:hAnsi="Verdana"/>
          <w:sz w:val="28"/>
          <w:szCs w:val="28"/>
        </w:rPr>
        <w:t xml:space="preserve">Healthcare / Long Term Services and Supports (LTSS) </w:t>
      </w:r>
      <w:bookmarkEnd w:id="1"/>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A lot of death and illness from COVID-19 has been in congregate facilities. Congregate facilities include: </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 xml:space="preserve">state hospitals </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psychiatric institutions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intermediate care facilities (ICFs)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nursing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group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developmental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day habilitation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detention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prisons</w:t>
      </w:r>
    </w:p>
    <w:p w:rsidR="00727445" w:rsidRPr="00F52E7E" w:rsidRDefault="00727445" w:rsidP="00727445">
      <w:pPr>
        <w:pStyle w:val="ListParagraph"/>
        <w:numPr>
          <w:ilvl w:val="0"/>
          <w:numId w:val="10"/>
        </w:numPr>
        <w:rPr>
          <w:rFonts w:ascii="Verdana" w:hAnsi="Verdana" w:cs="Arial"/>
          <w:sz w:val="28"/>
          <w:szCs w:val="28"/>
        </w:rPr>
      </w:pPr>
      <w:r w:rsidRPr="00F52E7E">
        <w:rPr>
          <w:rFonts w:ascii="Verdana" w:hAnsi="Verdana" w:cs="Arial"/>
          <w:sz w:val="28"/>
          <w:szCs w:val="28"/>
        </w:rPr>
        <w:t>jails.</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It includes more places, too.</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deaths in all these facilities happened because of discrimination. Deaths in long-term care settings are the result of an Institutional Bias. The Institutional Bias pushes many disabled people into congregate facilities. People get forced there to get the long term services and supports (LTSS) they need.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has created an Institutional Bias in Medicaid. They require states to pay for LTSS in institutions. Offering the same services in community settings is optional.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Large institutions regularly get funding increases. Home and community based services (HCBS) are underfunded. Sometimes smaller congregate facilities get funding for HCBS. This is instead of supporting individual choice in living arrangements.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made it easier to institutionalize people during the pandemic. People can be automatically transferred from hospitals to congregate facilities. This is allowed even if facilities are unlicensed in their state. Getting supports and services to keep people at home has gotten harder.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Money Follows the Person (MFP) program is very successful. It supports moving people from institutions to the community. It has helped over 91,000 people move to the community. However, MFP is surviving on minimal support. It is not getting the longer-term extensions it needs.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People make judgments about disabled people and our lives. They think our lives have less value. That creates threats to our lives.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States have developed new rules during the pandemic. They have developed practices that harm disabled people. We might have life-saving treatment denied. We might have equipment we need denied or removed. These are only the most recent threats we face. Systems often deny disabled people care that can save or extend our lives. States also keep trying to expand physician assisted suicide and similar efforts. We need a commitment to the value of disabled lives.</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People are having a hard time getting the medications they need. This includes all types of medications, including controlled substances. Controlled substances are more tightly controlled by the government. This includes medications like opioids that people take for pain. It includes some other medications people need. People need access to all their medications. There are new policies that limit access and create barriers. These policies harm disabled people who rely on these medications.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Other policies have limited visitors in the hospital. People need support in the hospital for many reasons. They may need help to communicate. They may have other support needs. People who need help in the hospital are at risk because of these policies.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We need to end the Institutional Bias. To do that, we need a shift in resources. We also need a shift in the way people value our lives. We call on Congress to make these shifts. They need to do this for their constituents, their families, and their communities.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We call on Congress to:</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END THE INSTITUTIONAL BIAS in long term services and supports.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 xml:space="preserve">Increase funding for Home and Community Based Services (HCBS) programs. This includes dedicated HCBS funding in the next COVID-19 package in Congress. We need a major investment in HCBS. It must support individual control and choice. This will ensure supports are available for people across the lifespan. </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Pass long term reauthorization of the Money Follows the Person program. A reauthorization of a law updates the law and says it will continue.</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Protect our rights. This includes preventing involuntary institutionalization. It includes banning discrimination in medical decision-making. And it includes banning discrimination in medical rationing.</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Ensure access to PPE for disabled people and our support workers.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Ensure access to medications, supplies, and equipment for all people. This includes people who rely on controlled substances.</w:t>
      </w:r>
    </w:p>
    <w:p w:rsidR="00727445" w:rsidRPr="001D12C5" w:rsidRDefault="00727445" w:rsidP="00727445">
      <w:pPr>
        <w:rPr>
          <w:rFonts w:cs="Arial"/>
        </w:rPr>
      </w:pPr>
    </w:p>
    <w:p w:rsidR="00F52E7E" w:rsidRPr="00F52E7E" w:rsidRDefault="00F52E7E" w:rsidP="00F52E7E">
      <w:pPr>
        <w:rPr>
          <w:rFonts w:ascii="Verdana" w:hAnsi="Verdana"/>
          <w:bCs/>
          <w:sz w:val="28"/>
          <w:szCs w:val="28"/>
        </w:rPr>
      </w:pPr>
      <w:bookmarkStart w:id="2" w:name="_Toc45879122"/>
      <w:r w:rsidRPr="00F52E7E">
        <w:rPr>
          <w:rFonts w:ascii="Verdana" w:hAnsi="Verdana"/>
          <w:bCs/>
          <w:sz w:val="28"/>
          <w:szCs w:val="28"/>
        </w:rPr>
        <w:t xml:space="preserve">Electronic Visit Verification (EVV) </w:t>
      </w:r>
      <w:bookmarkEnd w:id="2"/>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NCIL</w:t>
      </w:r>
      <w:r w:rsidR="00AE4B7D">
        <w:rPr>
          <w:rFonts w:ascii="Verdana" w:hAnsi="Verdana"/>
          <w:bCs/>
          <w:sz w:val="28"/>
          <w:szCs w:val="28"/>
        </w:rPr>
        <w:t>, APRIL, and the IL Community</w:t>
      </w:r>
      <w:r w:rsidRPr="00F52E7E">
        <w:rPr>
          <w:rFonts w:ascii="Verdana" w:hAnsi="Verdana"/>
          <w:bCs/>
          <w:sz w:val="28"/>
          <w:szCs w:val="28"/>
        </w:rPr>
        <w:t xml:space="preserve"> wants Congress to delay the requirement for EVV. We want it delayed from January 2021 until 2022. We want it delayed nationally. NCIL is working with members of Congress. We are supporting legislation that includes this change. This is the </w:t>
      </w:r>
      <w:r w:rsidRPr="00F52E7E">
        <w:rPr>
          <w:rFonts w:ascii="Verdana" w:hAnsi="Verdana"/>
          <w:bCs/>
          <w:i/>
          <w:sz w:val="28"/>
          <w:szCs w:val="28"/>
        </w:rPr>
        <w:t>COVID-19 Recovery for Seniors and People with Disabilities Act</w:t>
      </w:r>
      <w:r w:rsidRPr="00F52E7E">
        <w:rPr>
          <w:rFonts w:ascii="Verdana" w:hAnsi="Verdana"/>
          <w:bCs/>
          <w:sz w:val="28"/>
          <w:szCs w:val="28"/>
        </w:rPr>
        <w:t xml:space="preserve"> (</w:t>
      </w:r>
      <w:r w:rsidRPr="00F52E7E">
        <w:rPr>
          <w:rFonts w:ascii="Verdana" w:hAnsi="Verdana"/>
          <w:bCs/>
          <w:i/>
          <w:sz w:val="28"/>
          <w:szCs w:val="28"/>
        </w:rPr>
        <w:t>S. 3740</w:t>
      </w:r>
      <w:r w:rsidRPr="00F52E7E">
        <w:rPr>
          <w:rFonts w:ascii="Verdana" w:hAnsi="Verdana"/>
          <w:bCs/>
          <w:sz w:val="28"/>
          <w:szCs w:val="28"/>
        </w:rPr>
        <w:t>).</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Congress is working on a bill called the </w:t>
      </w:r>
      <w:r w:rsidRPr="00F52E7E">
        <w:rPr>
          <w:rFonts w:ascii="Verdana" w:hAnsi="Verdana"/>
          <w:bCs/>
          <w:i/>
          <w:sz w:val="28"/>
          <w:szCs w:val="28"/>
        </w:rPr>
        <w:t>21st Century Cures Act 2.0</w:t>
      </w:r>
      <w:r w:rsidRPr="00F52E7E">
        <w:rPr>
          <w:rFonts w:ascii="Verdana" w:hAnsi="Verdana"/>
          <w:bCs/>
          <w:sz w:val="28"/>
          <w:szCs w:val="28"/>
        </w:rPr>
        <w:t xml:space="preserve">. Congress wrote a paper that explains their plan for the bill. This paper said Congress would not allow GPS and biometrics in EVV. GPS is technology that allows the tracking of someone’s location. Biometrics are personal features that are used to identify someone. Examples of biometrics are fingerprints or voice recognition.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We will keep working to make sure that language is in the final bill. We will focus on the House Energy &amp; Commerce Committee. Strong advocacy has been successful to make change. Strong advocacy is also what will bring success in the future.</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bookmarkStart w:id="3" w:name="_Toc45879123"/>
      <w:r w:rsidRPr="00F52E7E">
        <w:rPr>
          <w:rFonts w:ascii="Verdana" w:hAnsi="Verdana"/>
          <w:bCs/>
          <w:sz w:val="28"/>
          <w:szCs w:val="28"/>
        </w:rPr>
        <w:t xml:space="preserve">Americans with Disabilities Act / Civil Rights </w:t>
      </w:r>
      <w:bookmarkEnd w:id="3"/>
    </w:p>
    <w:p w:rsidR="00F52E7E" w:rsidRPr="00F52E7E" w:rsidRDefault="00F52E7E" w:rsidP="00F52E7E">
      <w:pPr>
        <w:rPr>
          <w:rFonts w:ascii="Verdana" w:hAnsi="Verdana"/>
          <w:bCs/>
          <w:sz w:val="28"/>
          <w:szCs w:val="28"/>
        </w:rPr>
      </w:pPr>
    </w:p>
    <w:p w:rsidR="00F52E7E" w:rsidRPr="00F52E7E" w:rsidRDefault="00AB1A4A" w:rsidP="00F52E7E">
      <w:pPr>
        <w:rPr>
          <w:rFonts w:ascii="Verdana" w:hAnsi="Verdana"/>
          <w:bCs/>
          <w:sz w:val="28"/>
          <w:szCs w:val="28"/>
        </w:rPr>
      </w:pPr>
      <w:r>
        <w:rPr>
          <w:rFonts w:ascii="Verdana" w:hAnsi="Verdana"/>
          <w:bCs/>
          <w:sz w:val="28"/>
          <w:szCs w:val="28"/>
        </w:rPr>
        <w:t>This is the 31st</w:t>
      </w:r>
      <w:r w:rsidR="00F52E7E" w:rsidRPr="00F52E7E">
        <w:rPr>
          <w:rFonts w:ascii="Verdana" w:hAnsi="Verdana"/>
          <w:bCs/>
          <w:sz w:val="28"/>
          <w:szCs w:val="28"/>
        </w:rPr>
        <w:t xml:space="preserve"> anniversary of the </w:t>
      </w:r>
      <w:r w:rsidR="00F52E7E" w:rsidRPr="00F52E7E">
        <w:rPr>
          <w:rFonts w:ascii="Verdana" w:hAnsi="Verdana"/>
          <w:bCs/>
          <w:i/>
          <w:sz w:val="28"/>
          <w:szCs w:val="28"/>
        </w:rPr>
        <w:t>Americans with Disabilities Act</w:t>
      </w:r>
      <w:r w:rsidR="00F52E7E" w:rsidRPr="00F52E7E">
        <w:rPr>
          <w:rFonts w:ascii="Verdana" w:hAnsi="Verdana"/>
          <w:bCs/>
          <w:sz w:val="28"/>
          <w:szCs w:val="28"/>
        </w:rPr>
        <w:t xml:space="preserve"> (</w:t>
      </w:r>
      <w:r w:rsidR="00F52E7E" w:rsidRPr="00F52E7E">
        <w:rPr>
          <w:rFonts w:ascii="Verdana" w:hAnsi="Verdana"/>
          <w:bCs/>
          <w:i/>
          <w:sz w:val="28"/>
          <w:szCs w:val="28"/>
        </w:rPr>
        <w:t>ADA</w:t>
      </w:r>
      <w:r w:rsidR="00F52E7E" w:rsidRPr="00F52E7E">
        <w:rPr>
          <w:rFonts w:ascii="Verdana" w:hAnsi="Verdana"/>
          <w:bCs/>
          <w:sz w:val="28"/>
          <w:szCs w:val="28"/>
        </w:rPr>
        <w:t xml:space="preserve">). But there are still threats to our rights. For example, another bill has been introduced that could weaken the </w:t>
      </w:r>
      <w:r w:rsidR="00F52E7E" w:rsidRPr="00F52E7E">
        <w:rPr>
          <w:rFonts w:ascii="Verdana" w:hAnsi="Verdana"/>
          <w:bCs/>
          <w:iCs/>
          <w:sz w:val="28"/>
          <w:szCs w:val="28"/>
        </w:rPr>
        <w:t>ADA</w:t>
      </w:r>
      <w:r w:rsidR="00F52E7E" w:rsidRPr="00F52E7E">
        <w:rPr>
          <w:rFonts w:ascii="Verdana" w:hAnsi="Verdana"/>
          <w:bCs/>
          <w:sz w:val="28"/>
          <w:szCs w:val="28"/>
        </w:rPr>
        <w:t xml:space="preserve">. This bill is the </w:t>
      </w:r>
      <w:r w:rsidR="00F52E7E" w:rsidRPr="00F52E7E">
        <w:rPr>
          <w:rFonts w:ascii="Verdana" w:hAnsi="Verdana"/>
          <w:bCs/>
          <w:i/>
          <w:sz w:val="28"/>
          <w:szCs w:val="28"/>
        </w:rPr>
        <w:t>ACCESS Act</w:t>
      </w:r>
      <w:r w:rsidR="00F52E7E" w:rsidRPr="00F52E7E">
        <w:rPr>
          <w:rFonts w:ascii="Verdana" w:hAnsi="Verdana"/>
          <w:bCs/>
          <w:sz w:val="28"/>
          <w:szCs w:val="28"/>
        </w:rPr>
        <w:t xml:space="preserve"> </w:t>
      </w:r>
      <w:r w:rsidR="00F52E7E" w:rsidRPr="00F52E7E">
        <w:rPr>
          <w:rFonts w:ascii="Verdana" w:hAnsi="Verdana"/>
          <w:bCs/>
          <w:iCs/>
          <w:sz w:val="28"/>
          <w:szCs w:val="28"/>
        </w:rPr>
        <w:t>(</w:t>
      </w:r>
      <w:r w:rsidR="00F52E7E" w:rsidRPr="00F52E7E">
        <w:rPr>
          <w:rFonts w:ascii="Verdana" w:hAnsi="Verdana"/>
          <w:bCs/>
          <w:i/>
          <w:sz w:val="28"/>
          <w:szCs w:val="28"/>
        </w:rPr>
        <w:t>H.R. 4099</w:t>
      </w:r>
      <w:r w:rsidR="00F52E7E" w:rsidRPr="00F52E7E">
        <w:rPr>
          <w:rFonts w:ascii="Verdana" w:hAnsi="Verdana"/>
          <w:bCs/>
          <w:iCs/>
          <w:sz w:val="28"/>
          <w:szCs w:val="28"/>
        </w:rPr>
        <w:t>).</w:t>
      </w:r>
      <w:r w:rsidR="00F52E7E" w:rsidRPr="00F52E7E">
        <w:rPr>
          <w:rFonts w:ascii="Verdana" w:hAnsi="Verdana"/>
          <w:bCs/>
          <w:sz w:val="28"/>
          <w:szCs w:val="28"/>
        </w:rPr>
        <w:t xml:space="preserve">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is similar to previous bills. It would create barriers to </w:t>
      </w:r>
      <w:r w:rsidRPr="00F52E7E">
        <w:rPr>
          <w:rFonts w:ascii="Verdana" w:hAnsi="Verdana"/>
          <w:bCs/>
          <w:i/>
          <w:sz w:val="28"/>
          <w:szCs w:val="28"/>
        </w:rPr>
        <w:t>ADA</w:t>
      </w:r>
      <w:r w:rsidRPr="00F52E7E">
        <w:rPr>
          <w:rFonts w:ascii="Verdana" w:hAnsi="Verdana"/>
          <w:bCs/>
          <w:sz w:val="28"/>
          <w:szCs w:val="28"/>
        </w:rPr>
        <w:t xml:space="preserve"> enforcement. It would set our rights back.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does not increase access. In fact, it creates more barriers. If a disabled person wants to challenge specific barriers in court, they have to do many things. First, they must provide specific notification. They then have to wait up to 60 days for the business to write a plan. Then they must wait 60 days more for the business to fix the issue or make progress.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could also weaken website access requirements.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bill will probably not pass this year. But we still cannot ignore it. Lawmakers keep introducing similar bills every year. Eventually one of these bills will pass if we do not fight them.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We are also facing </w:t>
      </w:r>
      <w:r w:rsidRPr="00F52E7E" w:rsidDel="00CE7F14">
        <w:rPr>
          <w:rFonts w:ascii="Verdana" w:hAnsi="Verdana"/>
          <w:bCs/>
          <w:sz w:val="28"/>
          <w:szCs w:val="28"/>
        </w:rPr>
        <w:t xml:space="preserve">the </w:t>
      </w:r>
      <w:r w:rsidRPr="00F52E7E">
        <w:rPr>
          <w:rFonts w:ascii="Verdana" w:hAnsi="Verdana"/>
          <w:bCs/>
          <w:sz w:val="28"/>
          <w:szCs w:val="28"/>
        </w:rPr>
        <w:t>COVID-19 p</w:t>
      </w:r>
      <w:r w:rsidRPr="00F52E7E" w:rsidDel="00CE7F14">
        <w:rPr>
          <w:rFonts w:ascii="Verdana" w:hAnsi="Verdana"/>
          <w:bCs/>
          <w:sz w:val="28"/>
          <w:szCs w:val="28"/>
        </w:rPr>
        <w:t>andemic</w:t>
      </w:r>
      <w:r w:rsidRPr="00F52E7E">
        <w:rPr>
          <w:rFonts w:ascii="Verdana" w:hAnsi="Verdana"/>
          <w:bCs/>
          <w:sz w:val="28"/>
          <w:szCs w:val="28"/>
        </w:rPr>
        <w:t>. COVID-19</w:t>
      </w:r>
      <w:r w:rsidRPr="00F52E7E" w:rsidDel="00CE7F14">
        <w:rPr>
          <w:rFonts w:ascii="Verdana" w:hAnsi="Verdana"/>
          <w:bCs/>
          <w:sz w:val="28"/>
          <w:szCs w:val="28"/>
        </w:rPr>
        <w:t xml:space="preserve"> has highlighted how </w:t>
      </w:r>
      <w:r w:rsidRPr="00F52E7E">
        <w:rPr>
          <w:rFonts w:ascii="Verdana" w:hAnsi="Verdana"/>
          <w:bCs/>
          <w:sz w:val="28"/>
          <w:szCs w:val="28"/>
        </w:rPr>
        <w:t>disabled people are discriminated against. This is especially true for disa</w:t>
      </w:r>
      <w:r w:rsidRPr="00F52E7E" w:rsidDel="00CE7F14">
        <w:rPr>
          <w:rFonts w:ascii="Verdana" w:hAnsi="Verdana"/>
          <w:bCs/>
          <w:sz w:val="28"/>
          <w:szCs w:val="28"/>
        </w:rPr>
        <w:t xml:space="preserve">bled </w:t>
      </w:r>
      <w:r w:rsidRPr="00F52E7E">
        <w:rPr>
          <w:rFonts w:ascii="Verdana" w:hAnsi="Verdana"/>
          <w:bCs/>
          <w:sz w:val="28"/>
          <w:szCs w:val="28"/>
        </w:rPr>
        <w:t xml:space="preserve">black, indigenous, or other people </w:t>
      </w:r>
      <w:r w:rsidRPr="00F52E7E" w:rsidDel="00CE7F14">
        <w:rPr>
          <w:rFonts w:ascii="Verdana" w:hAnsi="Verdana"/>
          <w:bCs/>
          <w:sz w:val="28"/>
          <w:szCs w:val="28"/>
        </w:rPr>
        <w:t>of color</w:t>
      </w:r>
      <w:r w:rsidRPr="00F52E7E">
        <w:rPr>
          <w:rFonts w:ascii="Verdana" w:hAnsi="Verdana"/>
          <w:bCs/>
          <w:sz w:val="28"/>
          <w:szCs w:val="28"/>
        </w:rPr>
        <w:t xml:space="preserve"> (BIPOC)</w:t>
      </w:r>
      <w:r w:rsidRPr="00F52E7E" w:rsidDel="00CE7F14">
        <w:rPr>
          <w:rFonts w:ascii="Verdana" w:hAnsi="Verdana"/>
          <w:bCs/>
          <w:sz w:val="28"/>
          <w:szCs w:val="28"/>
        </w:rPr>
        <w:t xml:space="preserve">. </w:t>
      </w:r>
    </w:p>
    <w:p w:rsidR="00B65E5F" w:rsidRDefault="00B65E5F" w:rsidP="002B29DD">
      <w:pPr>
        <w:rPr>
          <w:rFonts w:ascii="Verdana" w:hAnsi="Verdana"/>
          <w:b/>
          <w:sz w:val="28"/>
          <w:szCs w:val="28"/>
        </w:rPr>
      </w:pPr>
    </w:p>
    <w:p w:rsidR="00B65E5F" w:rsidRDefault="00B65E5F" w:rsidP="002B29DD">
      <w:pPr>
        <w:rPr>
          <w:rFonts w:ascii="Verdana" w:hAnsi="Verdana"/>
          <w:b/>
          <w:sz w:val="28"/>
          <w:szCs w:val="28"/>
        </w:rPr>
      </w:pPr>
    </w:p>
    <w:p w:rsidR="002B29DD" w:rsidRPr="00A773A7" w:rsidRDefault="002B29DD" w:rsidP="002B29DD">
      <w:pPr>
        <w:rPr>
          <w:rFonts w:ascii="Verdana" w:hAnsi="Verdana"/>
          <w:b/>
          <w:sz w:val="28"/>
          <w:szCs w:val="28"/>
        </w:rPr>
      </w:pPr>
      <w:r w:rsidRPr="00A773A7">
        <w:rPr>
          <w:rFonts w:ascii="Verdana" w:hAnsi="Verdana"/>
          <w:b/>
          <w:sz w:val="28"/>
          <w:szCs w:val="28"/>
        </w:rPr>
        <w:t>Voting Accessibility</w:t>
      </w:r>
    </w:p>
    <w:p w:rsidR="003652DA" w:rsidRPr="00A773A7" w:rsidRDefault="003652DA" w:rsidP="002B29DD">
      <w:pPr>
        <w:rPr>
          <w:rFonts w:ascii="Verdana" w:hAnsi="Verdana"/>
          <w:sz w:val="28"/>
          <w:szCs w:val="28"/>
        </w:rPr>
      </w:pPr>
    </w:p>
    <w:p w:rsidR="00F52E7E" w:rsidRPr="00F52E7E" w:rsidRDefault="00AB1A4A" w:rsidP="00F52E7E">
      <w:pPr>
        <w:pStyle w:val="Heading1"/>
        <w:rPr>
          <w:rFonts w:ascii="Verdana" w:hAnsi="Verdana"/>
          <w:b w:val="0"/>
          <w:kern w:val="32"/>
          <w:sz w:val="28"/>
          <w:szCs w:val="28"/>
        </w:rPr>
      </w:pPr>
      <w:r>
        <w:rPr>
          <w:rFonts w:ascii="Verdana" w:hAnsi="Verdana"/>
          <w:b w:val="0"/>
          <w:sz w:val="28"/>
          <w:szCs w:val="28"/>
        </w:rPr>
        <w:t>disABILITY LINK is in line</w:t>
      </w:r>
      <w:r w:rsidR="00116385" w:rsidRPr="00AB1A4A">
        <w:rPr>
          <w:rFonts w:ascii="Verdana" w:hAnsi="Verdana"/>
          <w:b w:val="0"/>
          <w:sz w:val="28"/>
          <w:szCs w:val="28"/>
        </w:rPr>
        <w:t xml:space="preserve"> with</w:t>
      </w:r>
      <w:r w:rsidR="00116385">
        <w:rPr>
          <w:rFonts w:ascii="Verdana" w:hAnsi="Verdana"/>
          <w:sz w:val="28"/>
          <w:szCs w:val="28"/>
        </w:rPr>
        <w:t xml:space="preserve"> </w:t>
      </w:r>
      <w:r w:rsidR="00116385" w:rsidRPr="00F52E7E">
        <w:rPr>
          <w:rFonts w:ascii="Verdana" w:hAnsi="Verdana"/>
          <w:b w:val="0"/>
          <w:sz w:val="28"/>
          <w:szCs w:val="28"/>
        </w:rPr>
        <w:t>NCIL, APRIL</w:t>
      </w:r>
      <w:r w:rsidR="00206C52">
        <w:rPr>
          <w:rFonts w:ascii="Verdana" w:hAnsi="Verdana"/>
          <w:b w:val="0"/>
          <w:sz w:val="28"/>
          <w:szCs w:val="28"/>
        </w:rPr>
        <w:t>, REV up the Vote,</w:t>
      </w:r>
      <w:r w:rsidR="00116385" w:rsidRPr="00F52E7E">
        <w:rPr>
          <w:rFonts w:ascii="Verdana" w:hAnsi="Verdana"/>
          <w:b w:val="0"/>
          <w:sz w:val="28"/>
          <w:szCs w:val="28"/>
        </w:rPr>
        <w:t xml:space="preserve"> and the IL Network’s</w:t>
      </w:r>
      <w:r w:rsidR="002B29DD" w:rsidRPr="00F52E7E">
        <w:rPr>
          <w:rFonts w:ascii="Verdana" w:hAnsi="Verdana"/>
          <w:b w:val="0"/>
          <w:sz w:val="28"/>
          <w:szCs w:val="28"/>
        </w:rPr>
        <w:t xml:space="preserve"> top</w:t>
      </w:r>
      <w:bookmarkStart w:id="4" w:name="_Toc45879130"/>
      <w:bookmarkStart w:id="5" w:name="_Toc11656968"/>
      <w:r w:rsidR="00F52E7E" w:rsidRPr="00F52E7E">
        <w:rPr>
          <w:rFonts w:ascii="Verdana" w:hAnsi="Verdana"/>
          <w:b w:val="0"/>
          <w:kern w:val="32"/>
          <w:sz w:val="28"/>
          <w:szCs w:val="28"/>
        </w:rPr>
        <w:t xml:space="preserve"> </w:t>
      </w:r>
      <w:bookmarkEnd w:id="4"/>
      <w:r w:rsidR="00F52E7E" w:rsidRPr="00F52E7E">
        <w:rPr>
          <w:rFonts w:ascii="Verdana" w:hAnsi="Verdana" w:cs="Arial"/>
          <w:b w:val="0"/>
          <w:sz w:val="28"/>
          <w:szCs w:val="28"/>
        </w:rPr>
        <w:t xml:space="preserve">goal is full accessibility of elections. All people with disabilities should be able to vote privately and independently. This is even more urgent during the COVID-19 pandemic. People are facing major barriers to voting.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All voters must have access to both in-person and remote voting. Both of these must have accessible options.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for federal funding. We will work with others in the disability community for this. This funding should expand voting options. This includes accessible remote voting options for everyone. We must improve both accessibility and security of voting.</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train leaders. We will work with other organizations. We will provide resources. We will help with voter registration. We will help with education and get-out-the-vote campaigns. We will do this in elections at all levels of government.</w:t>
      </w:r>
    </w:p>
    <w:p w:rsidR="001335A1" w:rsidRDefault="00F52E7E" w:rsidP="001335A1">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with policymakers. We will advocate with technology makers. And we will advocate with election officials. New voting technology should be accessible and easy-to-use. We will make sure of this.</w:t>
      </w:r>
    </w:p>
    <w:p w:rsidR="001335A1" w:rsidRPr="001335A1" w:rsidRDefault="00F52E7E" w:rsidP="001335A1">
      <w:pPr>
        <w:numPr>
          <w:ilvl w:val="0"/>
          <w:numId w:val="11"/>
        </w:numPr>
        <w:spacing w:after="160" w:line="259" w:lineRule="auto"/>
        <w:contextualSpacing/>
        <w:rPr>
          <w:rFonts w:ascii="Verdana" w:eastAsia="Calibri" w:hAnsi="Verdana" w:cs="Arial"/>
          <w:sz w:val="28"/>
          <w:szCs w:val="28"/>
        </w:rPr>
      </w:pPr>
      <w:r w:rsidRPr="001335A1">
        <w:rPr>
          <w:rFonts w:ascii="Verdana" w:eastAsia="Calibri" w:hAnsi="Verdana" w:cs="Arial"/>
          <w:sz w:val="28"/>
          <w:szCs w:val="28"/>
        </w:rPr>
        <w:t xml:space="preserve">We want people with disabilities to run for public office. We want people with disabilities to hold appointed positions. We will encourage and educate people to be able to do this. </w:t>
      </w:r>
    </w:p>
    <w:p w:rsidR="00F52E7E" w:rsidRPr="001335A1" w:rsidRDefault="00F52E7E" w:rsidP="001335A1">
      <w:pPr>
        <w:spacing w:after="160" w:line="259" w:lineRule="auto"/>
        <w:ind w:left="360"/>
        <w:contextualSpacing/>
        <w:rPr>
          <w:rFonts w:ascii="Verdana" w:eastAsia="Calibri" w:hAnsi="Verdana" w:cs="Arial"/>
          <w:sz w:val="28"/>
          <w:szCs w:val="28"/>
        </w:rPr>
      </w:pPr>
      <w:r w:rsidRPr="001335A1">
        <w:rPr>
          <w:rFonts w:ascii="Verdana" w:eastAsia="Times New Roman" w:hAnsi="Verdana" w:cs="Arial"/>
          <w:sz w:val="28"/>
          <w:szCs w:val="28"/>
        </w:rPr>
        <w:t>We also must maintain the access we have. We will make sure websites voters use are accessible and easy-to-use. This includes websites from election officials. This includes campaign websites and websites of organizations that are educating voters.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 xml:space="preserve">They must also provide materials in alternative formats. This includes formats like large-print and recorded materials. The </w:t>
      </w:r>
      <w:r w:rsidRPr="00F52E7E">
        <w:rPr>
          <w:rFonts w:ascii="Verdana" w:eastAsia="Times New Roman" w:hAnsi="Verdana" w:cs="Arial"/>
          <w:i/>
          <w:iCs/>
          <w:sz w:val="28"/>
          <w:szCs w:val="28"/>
        </w:rPr>
        <w:t>Americans with Disabilities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ADA</w:t>
      </w:r>
      <w:r w:rsidRPr="00F52E7E">
        <w:rPr>
          <w:rFonts w:ascii="Verdana" w:eastAsia="Times New Roman" w:hAnsi="Verdana" w:cs="Arial"/>
          <w:sz w:val="28"/>
          <w:szCs w:val="28"/>
        </w:rPr>
        <w:t xml:space="preserve">) requires this.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support improving the country's voter registration system. This includes strong implementation of the </w:t>
      </w:r>
      <w:r w:rsidRPr="00F52E7E">
        <w:rPr>
          <w:rFonts w:ascii="Verdana" w:eastAsia="Times New Roman" w:hAnsi="Verdana" w:cs="Arial"/>
          <w:i/>
          <w:sz w:val="28"/>
          <w:szCs w:val="28"/>
        </w:rPr>
        <w:t>National Voter Registration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requirements. The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made new requirements for states. These were meant to make it easier for people to register and stay registered to vote.</w:t>
      </w:r>
    </w:p>
    <w:p w:rsidR="00F52E7E" w:rsidRDefault="00F52E7E" w:rsidP="00F52E7E">
      <w:pPr>
        <w:rPr>
          <w:rFonts w:ascii="Verdana" w:eastAsia="Times New Roman" w:hAnsi="Verdana" w:cs="Arial"/>
          <w:i/>
          <w:sz w:val="28"/>
          <w:szCs w:val="28"/>
        </w:rPr>
      </w:pPr>
    </w:p>
    <w:p w:rsidR="00F2227D" w:rsidRPr="00F2227D" w:rsidRDefault="00F2227D" w:rsidP="00F52E7E">
      <w:pPr>
        <w:rPr>
          <w:rFonts w:ascii="Verdana" w:eastAsia="Times New Roman" w:hAnsi="Verdana" w:cs="Arial"/>
          <w:sz w:val="28"/>
          <w:szCs w:val="28"/>
        </w:rPr>
      </w:pPr>
      <w:r w:rsidRPr="00F2227D">
        <w:rPr>
          <w:rFonts w:ascii="Verdana" w:eastAsia="Times New Roman" w:hAnsi="Verdana" w:cs="Arial"/>
          <w:sz w:val="28"/>
          <w:szCs w:val="28"/>
        </w:rPr>
        <w:t>P</w:t>
      </w:r>
      <w:r>
        <w:rPr>
          <w:rFonts w:ascii="Verdana" w:eastAsia="Times New Roman" w:hAnsi="Verdana" w:cs="Arial"/>
          <w:sz w:val="28"/>
          <w:szCs w:val="28"/>
        </w:rPr>
        <w:t>rominent Religious and Civil Rights Leaders were joined by disability rights activists in a march on Washington D.C. on June 23</w:t>
      </w:r>
      <w:r w:rsidRPr="00F2227D">
        <w:rPr>
          <w:rFonts w:ascii="Verdana" w:eastAsia="Times New Roman" w:hAnsi="Verdana" w:cs="Arial"/>
          <w:sz w:val="28"/>
          <w:szCs w:val="28"/>
          <w:vertAlign w:val="superscript"/>
        </w:rPr>
        <w:t>rd</w:t>
      </w:r>
      <w:r>
        <w:rPr>
          <w:rFonts w:ascii="Verdana" w:eastAsia="Times New Roman" w:hAnsi="Verdana" w:cs="Arial"/>
          <w:sz w:val="28"/>
          <w:szCs w:val="28"/>
        </w:rPr>
        <w:t xml:space="preserve"> of this year to protest SB202 and its barriers to voting access that disproportionately affect people of color, people with disabilities, and of low socioeconomic status. Even before this, the MLB </w:t>
      </w:r>
      <w:proofErr w:type="spellStart"/>
      <w:r>
        <w:rPr>
          <w:rFonts w:ascii="Verdana" w:eastAsia="Times New Roman" w:hAnsi="Verdana" w:cs="Arial"/>
          <w:sz w:val="28"/>
          <w:szCs w:val="28"/>
        </w:rPr>
        <w:t>Allstar</w:t>
      </w:r>
      <w:proofErr w:type="spellEnd"/>
      <w:r>
        <w:rPr>
          <w:rFonts w:ascii="Verdana" w:eastAsia="Times New Roman" w:hAnsi="Verdana" w:cs="Arial"/>
          <w:sz w:val="28"/>
          <w:szCs w:val="28"/>
        </w:rPr>
        <w:t xml:space="preserve"> Game was moved out of Atlanta, and a number of Corporations and Film Entertainment companies followed suit in objection of the voting laws.</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 xml:space="preserve">Three prominent Georgia-based disability rights groups have joined the broad-based alliance of </w:t>
      </w:r>
      <w:r w:rsidR="00F2227D">
        <w:rPr>
          <w:rFonts w:ascii="Verdana" w:hAnsi="Verdana"/>
          <w:sz w:val="28"/>
          <w:szCs w:val="28"/>
        </w:rPr>
        <w:t xml:space="preserve">disability rights organizations, </w:t>
      </w:r>
      <w:r w:rsidRPr="00AC0B44">
        <w:rPr>
          <w:rFonts w:ascii="Verdana" w:hAnsi="Verdana"/>
          <w:sz w:val="28"/>
          <w:szCs w:val="28"/>
        </w:rPr>
        <w:t>Georgia voters, civil rights groups, and activists fighting against the im</w:t>
      </w:r>
      <w:r w:rsidR="00F2227D">
        <w:rPr>
          <w:rFonts w:ascii="Verdana" w:hAnsi="Verdana"/>
          <w:sz w:val="28"/>
          <w:szCs w:val="28"/>
        </w:rPr>
        <w:t xml:space="preserve">plementation of Senate Bill </w:t>
      </w:r>
      <w:r w:rsidRPr="00AC0B44">
        <w:rPr>
          <w:rFonts w:ascii="Verdana" w:hAnsi="Verdana"/>
          <w:sz w:val="28"/>
          <w:szCs w:val="28"/>
        </w:rPr>
        <w:t>202.</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The groups are: </w:t>
      </w:r>
      <w:hyperlink r:id="rId12" w:history="1">
        <w:r w:rsidRPr="00AC0B44">
          <w:rPr>
            <w:rStyle w:val="Hyperlink"/>
            <w:rFonts w:ascii="Verdana" w:hAnsi="Verdana"/>
            <w:color w:val="auto"/>
            <w:sz w:val="28"/>
            <w:szCs w:val="28"/>
            <w:bdr w:val="none" w:sz="0" w:space="0" w:color="auto" w:frame="1"/>
          </w:rPr>
          <w:t>The Arc Georgia</w:t>
        </w:r>
      </w:hyperlink>
      <w:r w:rsidRPr="00AC0B44">
        <w:rPr>
          <w:rFonts w:ascii="Verdana" w:hAnsi="Verdana"/>
          <w:sz w:val="28"/>
          <w:szCs w:val="28"/>
        </w:rPr>
        <w:t> (an office of </w:t>
      </w:r>
      <w:hyperlink r:id="rId13" w:history="1">
        <w:r w:rsidRPr="00AC0B44">
          <w:rPr>
            <w:rStyle w:val="Hyperlink"/>
            <w:rFonts w:ascii="Verdana" w:hAnsi="Verdana"/>
            <w:color w:val="auto"/>
            <w:sz w:val="28"/>
            <w:szCs w:val="28"/>
            <w:bdr w:val="none" w:sz="0" w:space="0" w:color="auto" w:frame="1"/>
          </w:rPr>
          <w:t>The Arc of the United States</w:t>
        </w:r>
      </w:hyperlink>
      <w:r w:rsidRPr="00AC0B44">
        <w:rPr>
          <w:rFonts w:ascii="Verdana" w:hAnsi="Verdana"/>
          <w:sz w:val="28"/>
          <w:szCs w:val="28"/>
        </w:rPr>
        <w:t>), Georgia </w:t>
      </w:r>
      <w:hyperlink r:id="rId14" w:history="1">
        <w:r w:rsidRPr="00AC0B44">
          <w:rPr>
            <w:rStyle w:val="Hyperlink"/>
            <w:rFonts w:ascii="Verdana" w:hAnsi="Verdana"/>
            <w:color w:val="auto"/>
            <w:sz w:val="28"/>
            <w:szCs w:val="28"/>
            <w:bdr w:val="none" w:sz="0" w:space="0" w:color="auto" w:frame="1"/>
          </w:rPr>
          <w:t>ADAPT</w:t>
        </w:r>
      </w:hyperlink>
      <w:r w:rsidRPr="00AC0B44">
        <w:rPr>
          <w:rFonts w:ascii="Verdana" w:hAnsi="Verdana"/>
          <w:sz w:val="28"/>
          <w:szCs w:val="28"/>
        </w:rPr>
        <w:t> and the </w:t>
      </w:r>
      <w:hyperlink r:id="rId15" w:history="1">
        <w:r w:rsidRPr="00AC0B44">
          <w:rPr>
            <w:rStyle w:val="Hyperlink"/>
            <w:rFonts w:ascii="Verdana" w:hAnsi="Verdana"/>
            <w:color w:val="auto"/>
            <w:sz w:val="28"/>
            <w:szCs w:val="28"/>
            <w:bdr w:val="none" w:sz="0" w:space="0" w:color="auto" w:frame="1"/>
          </w:rPr>
          <w:t>Georgia Advocacy Office</w:t>
        </w:r>
      </w:hyperlink>
      <w:r w:rsidRPr="00AC0B44">
        <w:rPr>
          <w:rFonts w:ascii="Verdana" w:hAnsi="Verdana"/>
          <w:sz w:val="28"/>
          <w:szCs w:val="28"/>
        </w:rPr>
        <w:t> (GAO).</w:t>
      </w:r>
    </w:p>
    <w:p w:rsidR="00173466"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These organizations, whose core missions are to advocate for disability rights and support voters with disabilities, are the first disability rights-specific groups to join as plaintiffs in any of the pending lawsuits against S.B. 202.</w:t>
      </w:r>
      <w:r w:rsidR="00F2227D">
        <w:rPr>
          <w:rFonts w:ascii="Verdana" w:hAnsi="Verdana"/>
          <w:sz w:val="28"/>
          <w:szCs w:val="28"/>
        </w:rPr>
        <w:t xml:space="preserve"> Other members of Rev Up the Vote Grassroots Coalitions, including disABILITY LINK, as working with the SCLC to put together another legal case against SB 202 in which the plaintiffs are people with disabilities, as all of the other cases involve race.</w:t>
      </w:r>
    </w:p>
    <w:p w:rsidR="00F2227D" w:rsidRPr="00AC0B44" w:rsidRDefault="00F2227D" w:rsidP="00173466">
      <w:pPr>
        <w:pStyle w:val="NormalWeb"/>
        <w:shd w:val="clear" w:color="auto" w:fill="FFFFFF"/>
        <w:spacing w:before="0" w:beforeAutospacing="0" w:after="0" w:afterAutospacing="0"/>
        <w:textAlignment w:val="baseline"/>
        <w:rPr>
          <w:rFonts w:ascii="Verdana" w:hAnsi="Verdana"/>
          <w:sz w:val="28"/>
          <w:szCs w:val="28"/>
        </w:rPr>
      </w:pP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S.B. 202 was passed by both houses of the Georgia General Assembly and signed into law by Gov. Brian Kemp </w:t>
      </w:r>
      <w:hyperlink r:id="rId16" w:history="1">
        <w:r w:rsidRPr="00A31F73">
          <w:rPr>
            <w:rStyle w:val="Hyperlink"/>
            <w:rFonts w:ascii="Verdana" w:hAnsi="Verdana"/>
            <w:color w:val="auto"/>
            <w:sz w:val="28"/>
            <w:szCs w:val="28"/>
            <w:u w:val="none"/>
            <w:bdr w:val="none" w:sz="0" w:space="0" w:color="auto" w:frame="1"/>
          </w:rPr>
          <w:t>all in one afternoon</w:t>
        </w:r>
      </w:hyperlink>
      <w:r w:rsidRPr="00A31F73">
        <w:rPr>
          <w:rFonts w:ascii="Verdana" w:hAnsi="Verdana"/>
          <w:sz w:val="28"/>
          <w:szCs w:val="28"/>
        </w:rPr>
        <w:t>.</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In joining </w:t>
      </w:r>
      <w:r w:rsidRPr="00AC0B44">
        <w:rPr>
          <w:rStyle w:val="Emphasis"/>
          <w:rFonts w:ascii="Verdana" w:hAnsi="Verdana"/>
          <w:sz w:val="28"/>
          <w:szCs w:val="28"/>
          <w:bdr w:val="none" w:sz="0" w:space="0" w:color="auto" w:frame="1"/>
        </w:rPr>
        <w:t>AME Church v. Kemp</w:t>
      </w:r>
      <w:r w:rsidRPr="00AC0B44">
        <w:rPr>
          <w:rFonts w:ascii="Verdana" w:hAnsi="Verdana"/>
          <w:sz w:val="28"/>
          <w:szCs w:val="28"/>
        </w:rPr>
        <w:t> in the </w:t>
      </w:r>
      <w:hyperlink r:id="rId17" w:history="1">
        <w:r w:rsidRPr="00A31F73">
          <w:rPr>
            <w:rStyle w:val="Hyperlink"/>
            <w:rFonts w:ascii="Verdana" w:hAnsi="Verdana"/>
            <w:color w:val="auto"/>
            <w:sz w:val="28"/>
            <w:szCs w:val="28"/>
            <w:u w:val="none"/>
            <w:bdr w:val="none" w:sz="0" w:space="0" w:color="auto" w:frame="1"/>
          </w:rPr>
          <w:t>amended complaint</w:t>
        </w:r>
      </w:hyperlink>
      <w:r w:rsidRPr="00AC0B44">
        <w:rPr>
          <w:rFonts w:ascii="Verdana" w:hAnsi="Verdana"/>
          <w:sz w:val="28"/>
          <w:szCs w:val="28"/>
        </w:rPr>
        <w:t xml:space="preserve"> filed by the Southern Poverty Law Center (SPLC), American Civil Liberties Union (ACLU), ACLU of Georgia, NAACP Legal Defense and Educational Fund, Inc. (LDF), </w:t>
      </w:r>
      <w:proofErr w:type="spellStart"/>
      <w:r w:rsidRPr="00AC0B44">
        <w:rPr>
          <w:rFonts w:ascii="Verdana" w:hAnsi="Verdana"/>
          <w:sz w:val="28"/>
          <w:szCs w:val="28"/>
        </w:rPr>
        <w:t>WilmerHale</w:t>
      </w:r>
      <w:proofErr w:type="spellEnd"/>
      <w:r w:rsidRPr="00AC0B44">
        <w:rPr>
          <w:rFonts w:ascii="Verdana" w:hAnsi="Verdana"/>
          <w:sz w:val="28"/>
          <w:szCs w:val="28"/>
        </w:rPr>
        <w:t xml:space="preserve">, and Davis Wright Tremaine, these groups are making it clear that — in addition to targeting Black voters, </w:t>
      </w:r>
      <w:proofErr w:type="spellStart"/>
      <w:r w:rsidRPr="00AC0B44">
        <w:rPr>
          <w:rFonts w:ascii="Verdana" w:hAnsi="Verdana"/>
          <w:sz w:val="28"/>
          <w:szCs w:val="28"/>
        </w:rPr>
        <w:t>Latinx</w:t>
      </w:r>
      <w:proofErr w:type="spellEnd"/>
      <w:r w:rsidRPr="00AC0B44">
        <w:rPr>
          <w:rFonts w:ascii="Verdana" w:hAnsi="Verdana"/>
          <w:sz w:val="28"/>
          <w:szCs w:val="28"/>
        </w:rPr>
        <w:t xml:space="preserve"> voters, other voters of color, new citizens, elderly voters, and student voters — Georgia legislators and the governor have discriminated against people with disabilities.</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Voters with disabilities have received scant attention in Georgia’s battles over voting rights but have borne the brunt of historical and continuing discrimination and neglect in all spheres of public life. Rather than celebrating the strong turnout in the 2020 general election and runoffs, S.B. 202 doubles down on making voting even more inaccessible for the disability community.</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As detailed in the amended complaint, S.B. 202 unconstitutionally burdens the right to vote of people with disabilities and violates the Americans with Disabilities Act, which celebrates its 31</w:t>
      </w:r>
      <w:r w:rsidRPr="00AC0B44">
        <w:rPr>
          <w:rFonts w:ascii="Verdana" w:hAnsi="Verdana"/>
          <w:sz w:val="28"/>
          <w:szCs w:val="28"/>
          <w:bdr w:val="none" w:sz="0" w:space="0" w:color="auto" w:frame="1"/>
          <w:vertAlign w:val="superscript"/>
        </w:rPr>
        <w:t>th </w:t>
      </w:r>
      <w:r w:rsidRPr="00AC0B44">
        <w:rPr>
          <w:rFonts w:ascii="Verdana" w:hAnsi="Verdana"/>
          <w:sz w:val="28"/>
          <w:szCs w:val="28"/>
        </w:rPr>
        <w:t>anniversary on July 26, and the Rehabilitation Act of 1973 by imposing voting barriers that will discriminate against voters with disabilities and deny people with disabilities full and equal opportunity to participate in the state’s voting programs.</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The amended complaint in full, which also adds the </w:t>
      </w:r>
      <w:hyperlink r:id="rId18" w:history="1">
        <w:r w:rsidRPr="00AC0B44">
          <w:rPr>
            <w:rStyle w:val="Hyperlink"/>
            <w:rFonts w:ascii="Verdana" w:hAnsi="Verdana"/>
            <w:color w:val="auto"/>
            <w:sz w:val="28"/>
            <w:szCs w:val="28"/>
            <w:bdr w:val="none" w:sz="0" w:space="0" w:color="auto" w:frame="1"/>
          </w:rPr>
          <w:t>Southern Christian Leadership Conference</w:t>
        </w:r>
      </w:hyperlink>
      <w:r w:rsidRPr="00AC0B44">
        <w:rPr>
          <w:rFonts w:ascii="Verdana" w:hAnsi="Verdana"/>
          <w:sz w:val="28"/>
          <w:szCs w:val="28"/>
        </w:rPr>
        <w:t> (SCLC) as a client, is available here:</w:t>
      </w:r>
    </w:p>
    <w:p w:rsidR="00173466" w:rsidRDefault="00E20FFC" w:rsidP="00173466">
      <w:pPr>
        <w:pStyle w:val="NormalWeb"/>
        <w:shd w:val="clear" w:color="auto" w:fill="FFFFFF"/>
        <w:spacing w:before="0" w:beforeAutospacing="0" w:after="0" w:afterAutospacing="0"/>
        <w:textAlignment w:val="baseline"/>
        <w:rPr>
          <w:rFonts w:ascii="Verdana" w:hAnsi="Verdana"/>
          <w:sz w:val="28"/>
          <w:szCs w:val="28"/>
        </w:rPr>
      </w:pPr>
      <w:hyperlink r:id="rId19" w:history="1">
        <w:r w:rsidR="00173466" w:rsidRPr="00AC0B44">
          <w:rPr>
            <w:rStyle w:val="Hyperlink"/>
            <w:rFonts w:ascii="Verdana" w:hAnsi="Verdana"/>
            <w:color w:val="auto"/>
            <w:sz w:val="28"/>
            <w:szCs w:val="28"/>
            <w:bdr w:val="none" w:sz="0" w:space="0" w:color="auto" w:frame="1"/>
          </w:rPr>
          <w:t>https://www.splcenter.org/sites/default/files/083_ame_et_al_fac.pdf</w:t>
        </w:r>
      </w:hyperlink>
    </w:p>
    <w:p w:rsidR="00A31F73" w:rsidRPr="00AC0B44" w:rsidRDefault="00A31F73" w:rsidP="00173466">
      <w:pPr>
        <w:pStyle w:val="NormalWeb"/>
        <w:shd w:val="clear" w:color="auto" w:fill="FFFFFF"/>
        <w:spacing w:before="0" w:beforeAutospacing="0" w:after="0" w:afterAutospacing="0"/>
        <w:textAlignment w:val="baseline"/>
        <w:rPr>
          <w:rFonts w:ascii="Verdana" w:hAnsi="Verdana"/>
          <w:sz w:val="28"/>
          <w:szCs w:val="28"/>
        </w:rPr>
      </w:pP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Other plaintiffs in </w:t>
      </w:r>
      <w:r w:rsidRPr="00AC0B44">
        <w:rPr>
          <w:rStyle w:val="Emphasis"/>
          <w:rFonts w:ascii="Verdana" w:hAnsi="Verdana"/>
          <w:sz w:val="28"/>
          <w:szCs w:val="28"/>
          <w:bdr w:val="none" w:sz="0" w:space="0" w:color="auto" w:frame="1"/>
        </w:rPr>
        <w:t>AME Church v. Kemp</w:t>
      </w:r>
      <w:r w:rsidRPr="00AC0B44">
        <w:rPr>
          <w:rFonts w:ascii="Verdana" w:hAnsi="Verdana"/>
          <w:sz w:val="28"/>
          <w:szCs w:val="28"/>
        </w:rPr>
        <w:t xml:space="preserve"> include: Sixth District of the African Methodist Episcopal Church, Delta Sigma Theta Sorority, Inc., Georgia Muslim Voter Project, Women Watch </w:t>
      </w:r>
      <w:proofErr w:type="spellStart"/>
      <w:r w:rsidRPr="00AC0B44">
        <w:rPr>
          <w:rFonts w:ascii="Verdana" w:hAnsi="Verdana"/>
          <w:sz w:val="28"/>
          <w:szCs w:val="28"/>
        </w:rPr>
        <w:t>Afrika</w:t>
      </w:r>
      <w:proofErr w:type="spellEnd"/>
      <w:r w:rsidRPr="00AC0B44">
        <w:rPr>
          <w:rFonts w:ascii="Verdana" w:hAnsi="Verdana"/>
          <w:sz w:val="28"/>
          <w:szCs w:val="28"/>
        </w:rPr>
        <w:t>, and Latino Community Fund Georgia.</w:t>
      </w:r>
    </w:p>
    <w:p w:rsidR="00173466" w:rsidRPr="00AC0B44" w:rsidRDefault="00173466" w:rsidP="00173466">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“Georgia’s voting process already presented barriers to people with disabilities and S.B. 202 has made the process even more inaccessible in violation of the law,” said </w:t>
      </w:r>
      <w:r w:rsidRPr="00AC0B44">
        <w:rPr>
          <w:rStyle w:val="Strong"/>
          <w:rFonts w:ascii="Verdana" w:eastAsiaTheme="majorEastAsia" w:hAnsi="Verdana"/>
          <w:sz w:val="28"/>
          <w:szCs w:val="28"/>
          <w:bdr w:val="none" w:sz="0" w:space="0" w:color="auto" w:frame="1"/>
        </w:rPr>
        <w:t xml:space="preserve">Stacey Ramirez, </w:t>
      </w:r>
      <w:r w:rsidR="00D24889">
        <w:rPr>
          <w:rStyle w:val="Strong"/>
          <w:rFonts w:ascii="Verdana" w:eastAsiaTheme="majorEastAsia" w:hAnsi="Verdana"/>
          <w:sz w:val="28"/>
          <w:szCs w:val="28"/>
          <w:bdr w:val="none" w:sz="0" w:space="0" w:color="auto" w:frame="1"/>
        </w:rPr>
        <w:t xml:space="preserve">(?) </w:t>
      </w:r>
      <w:r w:rsidRPr="00AC0B44">
        <w:rPr>
          <w:rStyle w:val="Strong"/>
          <w:rFonts w:ascii="Verdana" w:eastAsiaTheme="majorEastAsia" w:hAnsi="Verdana"/>
          <w:sz w:val="28"/>
          <w:szCs w:val="28"/>
          <w:bdr w:val="none" w:sz="0" w:space="0" w:color="auto" w:frame="1"/>
        </w:rPr>
        <w:t>acting state director of The Arc Georgia</w:t>
      </w:r>
      <w:r w:rsidRPr="00AC0B44">
        <w:rPr>
          <w:rFonts w:ascii="Verdana" w:hAnsi="Verdana"/>
          <w:sz w:val="28"/>
          <w:szCs w:val="28"/>
        </w:rPr>
        <w:t>. “This lawsuit is critically important to the future of over 850,000 Georgian citizens with disabilities eligible to vote who have a fundamental right to participate in our democracy. If this law is not struck down, the walls it puts around our voting rights will be even harder for people with disabilities to scale, and that’s unacceptable.”</w:t>
      </w:r>
    </w:p>
    <w:p w:rsidR="00F52E7E" w:rsidRDefault="00F52E7E" w:rsidP="00F52E7E">
      <w:pPr>
        <w:rPr>
          <w:rFonts w:ascii="Verdana" w:eastAsia="Times New Roman" w:hAnsi="Verdana" w:cs="Arial"/>
          <w:sz w:val="28"/>
          <w:szCs w:val="28"/>
        </w:rPr>
      </w:pPr>
    </w:p>
    <w:p w:rsidR="00173466" w:rsidRPr="00F52E7E" w:rsidRDefault="00173466" w:rsidP="00F52E7E">
      <w:pPr>
        <w:rPr>
          <w:rFonts w:ascii="Verdana" w:eastAsia="Times New Roman" w:hAnsi="Verdana" w:cs="Arial"/>
          <w:sz w:val="28"/>
          <w:szCs w:val="28"/>
        </w:rPr>
      </w:pPr>
    </w:p>
    <w:p w:rsidR="00F52E7E" w:rsidRPr="00F52E7E" w:rsidRDefault="00F52E7E" w:rsidP="00F52E7E">
      <w:pPr>
        <w:rPr>
          <w:rFonts w:ascii="Verdana" w:hAnsi="Verdana"/>
          <w:b/>
          <w:bCs/>
          <w:iCs/>
          <w:sz w:val="28"/>
          <w:szCs w:val="28"/>
        </w:rPr>
      </w:pPr>
      <w:bookmarkStart w:id="6" w:name="_Toc45879124"/>
      <w:bookmarkEnd w:id="5"/>
      <w:r w:rsidRPr="00F52E7E">
        <w:rPr>
          <w:rFonts w:ascii="Verdana" w:hAnsi="Verdana"/>
          <w:b/>
          <w:bCs/>
          <w:iCs/>
          <w:sz w:val="28"/>
          <w:szCs w:val="28"/>
        </w:rPr>
        <w:t xml:space="preserve">Housing </w:t>
      </w:r>
      <w:bookmarkEnd w:id="6"/>
    </w:p>
    <w:p w:rsidR="00F52E7E" w:rsidRPr="00F52E7E" w:rsidRDefault="00F52E7E" w:rsidP="00F52E7E">
      <w:pPr>
        <w:rPr>
          <w:rFonts w:ascii="Verdana" w:hAnsi="Verdana"/>
          <w:bCs/>
          <w:iCs/>
          <w:sz w:val="28"/>
          <w:szCs w:val="28"/>
        </w:rPr>
      </w:pPr>
    </w:p>
    <w:p w:rsidR="00851502" w:rsidRPr="00851502" w:rsidRDefault="00F52E7E" w:rsidP="00851502">
      <w:pPr>
        <w:rPr>
          <w:rFonts w:ascii="Verdana" w:hAnsi="Verdana"/>
          <w:bCs/>
          <w:iCs/>
          <w:sz w:val="28"/>
          <w:szCs w:val="28"/>
        </w:rPr>
      </w:pPr>
      <w:r w:rsidRPr="00F52E7E">
        <w:rPr>
          <w:rFonts w:ascii="Verdana" w:hAnsi="Verdana"/>
          <w:bCs/>
          <w:iCs/>
          <w:sz w:val="28"/>
          <w:szCs w:val="28"/>
        </w:rPr>
        <w:t xml:space="preserve">NCIL, APRIL, and the IL network know there is not enough housing for people with disabilities. This is even more true during these difficult times. </w:t>
      </w:r>
      <w:r w:rsidR="00851502" w:rsidRPr="00851502">
        <w:rPr>
          <w:rFonts w:ascii="Verdana" w:hAnsi="Verdana"/>
          <w:bCs/>
          <w:iCs/>
          <w:sz w:val="28"/>
          <w:szCs w:val="28"/>
        </w:rPr>
        <w:t>Last September, the U.S. Department of Housing and Urban Development (HUD) awarded $98.5 million to 285 local public housing authorities across the country to provide permanent affordable housing to nearly 12,000 additional non-elderly people with disabilities. PHAs were encouraged to partner with health &amp; human services agencies.</w:t>
      </w:r>
    </w:p>
    <w:p w:rsidR="00851502" w:rsidRPr="00851502" w:rsidRDefault="00851502" w:rsidP="00851502">
      <w:pPr>
        <w:rPr>
          <w:rFonts w:ascii="Verdana" w:hAnsi="Verdana"/>
          <w:bCs/>
          <w:iCs/>
          <w:sz w:val="28"/>
          <w:szCs w:val="28"/>
        </w:rPr>
      </w:pPr>
    </w:p>
    <w:p w:rsidR="00851502" w:rsidRPr="00851502" w:rsidRDefault="00851502" w:rsidP="00851502">
      <w:pPr>
        <w:rPr>
          <w:rFonts w:ascii="Verdana" w:hAnsi="Verdana"/>
          <w:bCs/>
          <w:iCs/>
          <w:sz w:val="28"/>
          <w:szCs w:val="28"/>
        </w:rPr>
      </w:pPr>
      <w:r w:rsidRPr="00851502">
        <w:rPr>
          <w:rFonts w:ascii="Verdana" w:hAnsi="Verdana"/>
          <w:bCs/>
          <w:iCs/>
          <w:sz w:val="28"/>
          <w:szCs w:val="28"/>
        </w:rPr>
        <w:t>Centers for Independent Living across the U.S. were encouraged by NCIL to work with their local public housing authorities (PHA) to jointly apply for these funds. The housing assistance is provided through HUD’s Section 811 Mainstream Housing Choice Voucher Program, which provides funding to housing agencies to assist non-elderly people with disabilities who are:</w:t>
      </w:r>
    </w:p>
    <w:p w:rsidR="00851502" w:rsidRPr="00851502" w:rsidRDefault="00851502" w:rsidP="00851502">
      <w:pPr>
        <w:rPr>
          <w:rFonts w:ascii="Verdana" w:hAnsi="Verdana"/>
          <w:bCs/>
          <w:iCs/>
          <w:sz w:val="28"/>
          <w:szCs w:val="28"/>
        </w:rPr>
      </w:pP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transitioning out of institutional or other separated settings;</w:t>
      </w: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at serious risk of institutionalization;</w:t>
      </w: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homeless; or</w:t>
      </w:r>
    </w:p>
    <w:p w:rsidR="00F52E7E"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at risk of becoming homeless.</w:t>
      </w:r>
    </w:p>
    <w:p w:rsidR="00E43540" w:rsidRDefault="00E43540" w:rsidP="00E43540">
      <w:pPr>
        <w:pStyle w:val="Heading1"/>
        <w:spacing w:before="0" w:beforeAutospacing="0" w:after="150" w:afterAutospacing="0"/>
        <w:rPr>
          <w:rFonts w:ascii="Verdana" w:eastAsiaTheme="minorHAnsi" w:hAnsi="Verdana"/>
          <w:b w:val="0"/>
          <w:iCs/>
          <w:kern w:val="0"/>
          <w:sz w:val="28"/>
          <w:szCs w:val="28"/>
        </w:rPr>
      </w:pPr>
    </w:p>
    <w:p w:rsidR="00E43540" w:rsidRPr="00E43540" w:rsidRDefault="00E43540" w:rsidP="00E43540">
      <w:pPr>
        <w:pStyle w:val="Heading1"/>
        <w:spacing w:before="0" w:beforeAutospacing="0" w:after="150" w:afterAutospacing="0"/>
        <w:rPr>
          <w:rFonts w:ascii="Verdana" w:hAnsi="Verdana" w:cs="Arial"/>
          <w:b w:val="0"/>
          <w:bCs w:val="0"/>
          <w:sz w:val="28"/>
          <w:szCs w:val="28"/>
        </w:rPr>
      </w:pPr>
      <w:r>
        <w:rPr>
          <w:rFonts w:ascii="Verdana" w:eastAsiaTheme="minorHAnsi" w:hAnsi="Verdana"/>
          <w:b w:val="0"/>
          <w:iCs/>
          <w:kern w:val="0"/>
          <w:sz w:val="28"/>
          <w:szCs w:val="28"/>
        </w:rPr>
        <w:t>Supporting people with disabilities experiencing homelessness.</w:t>
      </w:r>
    </w:p>
    <w:p w:rsidR="00E43540" w:rsidRDefault="00E43540" w:rsidP="00E43540">
      <w:pPr>
        <w:pStyle w:val="NormalWeb"/>
        <w:spacing w:before="0" w:beforeAutospacing="0" w:after="375" w:afterAutospacing="0"/>
        <w:rPr>
          <w:rFonts w:ascii="Verdana" w:hAnsi="Verdana" w:cs="Arial"/>
          <w:sz w:val="28"/>
          <w:szCs w:val="28"/>
          <w:u w:val="single"/>
        </w:rPr>
      </w:pPr>
      <w:r w:rsidRPr="00AC0B44">
        <w:rPr>
          <w:rFonts w:ascii="Verdana" w:hAnsi="Verdana" w:cs="Arial"/>
          <w:sz w:val="28"/>
          <w:szCs w:val="28"/>
        </w:rPr>
        <w:t>People with disabilities experience homelessness at alarming rates. The Department of Housing and Urban Development (HUD) reports that among adults using shelters, 49% report having a disability. Of course, not all unhoused people use shelters and many disabilities go undisclosed, so the actual rates are likely significantly higher. The rate of disability is also much higher within certain groups, like unhoused veterans. Centers for Independent Living (CILs) must support people experiencing homelessness if they want to reach all of the people with disabilities in their community. Virtually every CIL has served someone experiencing o</w:t>
      </w:r>
      <w:r w:rsidR="00D24889">
        <w:rPr>
          <w:rFonts w:ascii="Verdana" w:hAnsi="Verdana" w:cs="Arial"/>
          <w:sz w:val="28"/>
          <w:szCs w:val="28"/>
        </w:rPr>
        <w:t>r at risk of homelessness.</w:t>
      </w:r>
    </w:p>
    <w:p w:rsidR="00E43540" w:rsidRPr="005F0098" w:rsidRDefault="00E43540" w:rsidP="00E43540">
      <w:pPr>
        <w:pStyle w:val="NormalWeb"/>
        <w:spacing w:before="0" w:beforeAutospacing="0" w:after="375" w:afterAutospacing="0"/>
        <w:rPr>
          <w:rFonts w:ascii="Verdana" w:hAnsi="Verdana" w:cs="Arial"/>
          <w:sz w:val="28"/>
          <w:szCs w:val="28"/>
        </w:rPr>
      </w:pPr>
      <w:r w:rsidRPr="005F0098">
        <w:rPr>
          <w:rFonts w:ascii="Verdana" w:hAnsi="Verdana" w:cs="Arial"/>
          <w:sz w:val="28"/>
          <w:szCs w:val="28"/>
        </w:rPr>
        <w:t>For many people with disabilities, it can be very challenging to find housing, even when one has a Section 8 Voucher. Many housing options are not accessible, or out of reach with a rent that is too high for the voucher. There is another option that one doesn’t hear about often, the Section 8 Homeownership Program that assists with the purchase of a home using the Housing Choice Voucher.</w:t>
      </w:r>
    </w:p>
    <w:p w:rsidR="00E43540" w:rsidRPr="005F0098" w:rsidRDefault="00E43540" w:rsidP="00E43540">
      <w:pPr>
        <w:spacing w:after="375"/>
        <w:rPr>
          <w:rFonts w:ascii="Verdana" w:eastAsia="Times New Roman" w:hAnsi="Verdana" w:cs="Arial"/>
          <w:sz w:val="28"/>
          <w:szCs w:val="28"/>
        </w:rPr>
      </w:pPr>
      <w:r w:rsidRPr="005F0098">
        <w:rPr>
          <w:rFonts w:ascii="Verdana" w:eastAsia="Times New Roman" w:hAnsi="Verdana" w:cs="Arial"/>
          <w:sz w:val="28"/>
          <w:szCs w:val="28"/>
        </w:rPr>
        <w:t>The </w:t>
      </w:r>
      <w:hyperlink r:id="rId20" w:history="1">
        <w:r w:rsidRPr="00AB1A4A">
          <w:rPr>
            <w:rFonts w:ascii="Verdana" w:eastAsia="Times New Roman" w:hAnsi="Verdana" w:cs="Arial"/>
            <w:sz w:val="28"/>
            <w:szCs w:val="28"/>
          </w:rPr>
          <w:t>Homeownership Voucher Program</w:t>
        </w:r>
      </w:hyperlink>
      <w:r w:rsidRPr="005F0098">
        <w:rPr>
          <w:rFonts w:ascii="Verdana" w:eastAsia="Times New Roman" w:hAnsi="Verdana" w:cs="Arial"/>
          <w:sz w:val="28"/>
          <w:szCs w:val="28"/>
        </w:rPr>
        <w:t> was authorized in 1937, although the final rule was not issued until 2000! There were 15 Public Housing Agencies (PHAs) that participated in the pilot homeownership program that began in 1999.</w:t>
      </w:r>
    </w:p>
    <w:p w:rsidR="00E43540" w:rsidRPr="005F0098" w:rsidRDefault="00E43540" w:rsidP="00E43540">
      <w:pPr>
        <w:spacing w:after="375"/>
        <w:rPr>
          <w:rFonts w:ascii="Verdana" w:eastAsia="Times New Roman" w:hAnsi="Verdana" w:cs="Arial"/>
          <w:sz w:val="28"/>
          <w:szCs w:val="28"/>
        </w:rPr>
      </w:pPr>
      <w:r w:rsidRPr="005F0098">
        <w:rPr>
          <w:rFonts w:ascii="Verdana" w:eastAsia="Times New Roman" w:hAnsi="Verdana" w:cs="Arial"/>
          <w:sz w:val="28"/>
          <w:szCs w:val="28"/>
        </w:rPr>
        <w:t>The rule says a PHA may give assistance to an eligible household to buy their own homes, not just to rent. Homeownership can be a great choice for some people with disabilities, such as a person with environmental hypersensitivities or for other people who cannot be accommodated in available rental housing units due to their disabilities.</w:t>
      </w:r>
    </w:p>
    <w:p w:rsidR="00E43540" w:rsidRPr="005F0098" w:rsidRDefault="00E43540" w:rsidP="00E43540">
      <w:pPr>
        <w:spacing w:after="375"/>
        <w:rPr>
          <w:rFonts w:ascii="Verdana" w:eastAsia="Times New Roman" w:hAnsi="Verdana" w:cs="Arial"/>
          <w:sz w:val="28"/>
          <w:szCs w:val="28"/>
        </w:rPr>
      </w:pPr>
      <w:r w:rsidRPr="005F0098">
        <w:rPr>
          <w:rFonts w:ascii="Verdana" w:eastAsia="Times New Roman" w:hAnsi="Verdana" w:cs="Arial"/>
          <w:sz w:val="28"/>
          <w:szCs w:val="28"/>
        </w:rPr>
        <w:t>People who have had a voucher for at least a year can transfer their voucher to a different jurisdiction, and this can apply to the homeownership program, too. People could purchase a house in a different PHA’s jurisdiction, if it offers the Homeownership Voucher Program and is accepting new families.</w:t>
      </w:r>
    </w:p>
    <w:p w:rsidR="00E43540" w:rsidRPr="005F0098" w:rsidRDefault="00E43540" w:rsidP="00E43540">
      <w:pPr>
        <w:spacing w:after="375"/>
        <w:rPr>
          <w:rFonts w:ascii="Verdana" w:eastAsia="Times New Roman" w:hAnsi="Verdana" w:cs="Arial"/>
          <w:sz w:val="28"/>
          <w:szCs w:val="28"/>
        </w:rPr>
      </w:pPr>
      <w:r w:rsidRPr="005F0098">
        <w:rPr>
          <w:rFonts w:ascii="Verdana" w:eastAsia="Times New Roman" w:hAnsi="Verdana" w:cs="Arial"/>
          <w:sz w:val="28"/>
          <w:szCs w:val="28"/>
        </w:rPr>
        <w:t>If your PHA does not have a program, it may be possible to request that they offer homeownership assistance as a reasonable accommodation, if it can be demonstrated that housing available for rent is not accessible or usable by the family, and that an accommodation is necessary. For households where the head, spouse, or sole member is elderly or has a disability, the voucher is good for the entire term of the mortgage. For other households with a 30-year mortgage, the voucher would be available for a maximum of 15 years. It’s important to note that the PHA can only work with people who currently have vouchers or are on the waiting list. They can’t have a separate waiting list or preference for voucher applicants interested in homeownership.</w:t>
      </w:r>
    </w:p>
    <w:p w:rsidR="00E43540" w:rsidRPr="00AC0B44" w:rsidRDefault="00E43540" w:rsidP="00E43540">
      <w:pPr>
        <w:spacing w:after="375"/>
        <w:rPr>
          <w:rFonts w:ascii="Verdana" w:eastAsia="Times New Roman" w:hAnsi="Verdana" w:cs="Arial"/>
          <w:sz w:val="28"/>
          <w:szCs w:val="28"/>
        </w:rPr>
      </w:pPr>
      <w:r w:rsidRPr="005F0098">
        <w:rPr>
          <w:rFonts w:ascii="Verdana" w:eastAsia="Times New Roman" w:hAnsi="Verdana" w:cs="Arial"/>
          <w:sz w:val="28"/>
          <w:szCs w:val="28"/>
        </w:rPr>
        <w:t>If the PHAs in your area doesn’t have a homeownership program, consider advocating so they make that option available.</w:t>
      </w:r>
      <w:r>
        <w:rPr>
          <w:rFonts w:ascii="Verdana" w:eastAsia="Times New Roman" w:hAnsi="Verdana" w:cs="Arial"/>
          <w:sz w:val="28"/>
          <w:szCs w:val="28"/>
        </w:rPr>
        <w:t xml:space="preserve"> (</w:t>
      </w:r>
      <w:r w:rsidRPr="00E43540">
        <w:rPr>
          <w:rFonts w:ascii="Verdana" w:eastAsia="Times New Roman" w:hAnsi="Verdana" w:cs="Arial"/>
          <w:sz w:val="28"/>
          <w:szCs w:val="28"/>
        </w:rPr>
        <w:t>from the NCIL Housing Subcommittee: Public Housing Agencies and the Section 8 Homeownership Program</w:t>
      </w:r>
      <w:r>
        <w:rPr>
          <w:rFonts w:ascii="Verdana" w:eastAsia="Times New Roman" w:hAnsi="Verdana" w:cs="Arial"/>
          <w:sz w:val="28"/>
          <w:szCs w:val="28"/>
        </w:rPr>
        <w:t>)</w:t>
      </w:r>
    </w:p>
    <w:p w:rsidR="00E43540" w:rsidRPr="00E43540" w:rsidRDefault="00E43540" w:rsidP="00E43540">
      <w:pPr>
        <w:rPr>
          <w:rFonts w:ascii="Verdana" w:hAnsi="Verdana"/>
          <w:bCs/>
          <w:iCs/>
          <w:sz w:val="28"/>
          <w:szCs w:val="28"/>
        </w:rPr>
      </w:pPr>
    </w:p>
    <w:p w:rsidR="0008660D" w:rsidRPr="00F52E7E" w:rsidRDefault="0008660D" w:rsidP="00F52E7E">
      <w:pPr>
        <w:rPr>
          <w:rFonts w:ascii="Verdana" w:hAnsi="Verdana"/>
          <w:bCs/>
          <w:iCs/>
          <w:sz w:val="28"/>
          <w:szCs w:val="28"/>
        </w:rPr>
      </w:pPr>
    </w:p>
    <w:p w:rsidR="00F52E7E" w:rsidRPr="00F52E7E" w:rsidRDefault="00F52E7E" w:rsidP="00F52E7E">
      <w:pPr>
        <w:rPr>
          <w:rFonts w:ascii="Verdana" w:hAnsi="Verdana"/>
          <w:b/>
          <w:bCs/>
          <w:iCs/>
          <w:sz w:val="28"/>
          <w:szCs w:val="28"/>
        </w:rPr>
      </w:pPr>
      <w:bookmarkStart w:id="7" w:name="_Toc45879125"/>
      <w:r w:rsidRPr="00F52E7E">
        <w:rPr>
          <w:rFonts w:ascii="Verdana" w:hAnsi="Verdana"/>
          <w:b/>
          <w:bCs/>
          <w:iCs/>
          <w:sz w:val="28"/>
          <w:szCs w:val="28"/>
        </w:rPr>
        <w:t xml:space="preserve">Transportation </w:t>
      </w:r>
      <w:bookmarkEnd w:id="7"/>
    </w:p>
    <w:p w:rsidR="00F52E7E" w:rsidRPr="00F52E7E" w:rsidRDefault="00F52E7E" w:rsidP="00F52E7E">
      <w:pPr>
        <w:rPr>
          <w:rFonts w:ascii="Verdana" w:hAnsi="Verdana"/>
          <w:bCs/>
          <w:iCs/>
          <w:sz w:val="28"/>
          <w:szCs w:val="28"/>
        </w:rPr>
      </w:pPr>
    </w:p>
    <w:p w:rsidR="00F220FA" w:rsidRDefault="00F52E7E" w:rsidP="00F52E7E">
      <w:pPr>
        <w:rPr>
          <w:rFonts w:ascii="Verdana" w:hAnsi="Verdana"/>
          <w:bCs/>
          <w:iCs/>
          <w:sz w:val="28"/>
          <w:szCs w:val="28"/>
        </w:rPr>
      </w:pPr>
      <w:r w:rsidRPr="00F52E7E">
        <w:rPr>
          <w:rFonts w:ascii="Verdana" w:hAnsi="Verdana"/>
          <w:bCs/>
          <w:iCs/>
          <w:sz w:val="28"/>
          <w:szCs w:val="28"/>
        </w:rPr>
        <w:t xml:space="preserve">Transportation must be accessible. Accessible means it has to work for people with disabilities. It also has to be safe and not cost too much. Transportation includes buses, planes, cars, and </w:t>
      </w:r>
      <w:r w:rsidR="00F220FA">
        <w:rPr>
          <w:rFonts w:ascii="Verdana" w:hAnsi="Verdana"/>
          <w:bCs/>
          <w:iCs/>
          <w:sz w:val="28"/>
          <w:szCs w:val="28"/>
        </w:rPr>
        <w:t>more.</w:t>
      </w:r>
    </w:p>
    <w:p w:rsidR="00F220FA" w:rsidRDefault="00F220FA" w:rsidP="00F52E7E">
      <w:pPr>
        <w:rPr>
          <w:rFonts w:ascii="Verdana" w:hAnsi="Verdana"/>
          <w:bCs/>
          <w:iCs/>
          <w:sz w:val="28"/>
          <w:szCs w:val="28"/>
        </w:rPr>
      </w:pPr>
    </w:p>
    <w:p w:rsidR="00F220FA" w:rsidRPr="00416C08" w:rsidRDefault="00F220FA" w:rsidP="00F220FA">
      <w:pPr>
        <w:outlineLvl w:val="1"/>
        <w:rPr>
          <w:rFonts w:ascii="Verdana" w:eastAsia="Times New Roman" w:hAnsi="Verdana" w:cs="Arial"/>
          <w:sz w:val="28"/>
          <w:szCs w:val="28"/>
          <w:u w:val="single"/>
        </w:rPr>
      </w:pPr>
      <w:r w:rsidRPr="00AC0B44">
        <w:rPr>
          <w:rFonts w:ascii="Verdana" w:eastAsia="Times New Roman" w:hAnsi="Verdana" w:cs="Arial"/>
          <w:sz w:val="28"/>
          <w:szCs w:val="28"/>
          <w:u w:val="single"/>
        </w:rPr>
        <w:t>S</w:t>
      </w:r>
      <w:r>
        <w:rPr>
          <w:rFonts w:ascii="Verdana" w:eastAsia="Times New Roman" w:hAnsi="Verdana" w:cs="Arial"/>
          <w:sz w:val="28"/>
          <w:szCs w:val="28"/>
          <w:u w:val="single"/>
        </w:rPr>
        <w:t>upport the ASAP Act in Congress</w:t>
      </w:r>
    </w:p>
    <w:p w:rsidR="00F220FA" w:rsidRPr="00416C08" w:rsidRDefault="00F220FA" w:rsidP="00F220FA">
      <w:pPr>
        <w:spacing w:after="375"/>
        <w:rPr>
          <w:rFonts w:ascii="Verdana" w:eastAsia="Times New Roman" w:hAnsi="Verdana" w:cs="Arial"/>
          <w:sz w:val="28"/>
          <w:szCs w:val="28"/>
        </w:rPr>
      </w:pPr>
      <w:r w:rsidRPr="00416C08">
        <w:rPr>
          <w:rFonts w:ascii="Verdana" w:eastAsia="Times New Roman" w:hAnsi="Verdana" w:cs="Arial"/>
          <w:sz w:val="28"/>
          <w:szCs w:val="28"/>
        </w:rPr>
        <w:t>Access to public transportation has consistently been identified as a priority by NCIL members. While progress has been made, major barriers to achieving accessible public transportation remain. The Federal Transit Administration (FTA) stated that, as of 2019, 20% of all public transit stations in the US failed to meet accessibility criteria.</w:t>
      </w:r>
    </w:p>
    <w:p w:rsidR="00F220FA" w:rsidRPr="00416C08" w:rsidRDefault="00F220FA" w:rsidP="00F220FA">
      <w:pPr>
        <w:spacing w:after="375"/>
        <w:rPr>
          <w:rFonts w:ascii="Verdana" w:eastAsia="Times New Roman" w:hAnsi="Verdana" w:cs="Arial"/>
          <w:sz w:val="28"/>
          <w:szCs w:val="28"/>
        </w:rPr>
      </w:pPr>
      <w:r w:rsidRPr="00416C08">
        <w:rPr>
          <w:rFonts w:ascii="Verdana" w:eastAsia="Times New Roman" w:hAnsi="Verdana" w:cs="Arial"/>
          <w:sz w:val="28"/>
          <w:szCs w:val="28"/>
        </w:rPr>
        <w:t>In an effort to remedy some of the barriers people with disabilities face, Senator Duckworth has introduced the </w:t>
      </w:r>
      <w:hyperlink r:id="rId21" w:history="1">
        <w:r w:rsidRPr="00AC0B44">
          <w:rPr>
            <w:rFonts w:ascii="Verdana" w:eastAsia="Times New Roman" w:hAnsi="Verdana" w:cs="Arial"/>
            <w:sz w:val="28"/>
            <w:szCs w:val="28"/>
            <w:u w:val="single"/>
          </w:rPr>
          <w:t>All Station Accessibility Program (ASAP) Act of 2021</w:t>
        </w:r>
      </w:hyperlink>
      <w:r w:rsidRPr="00416C08">
        <w:rPr>
          <w:rFonts w:ascii="Verdana" w:eastAsia="Times New Roman" w:hAnsi="Verdana" w:cs="Arial"/>
          <w:sz w:val="28"/>
          <w:szCs w:val="28"/>
        </w:rPr>
        <w:t> (S. 1680). The ASAP Act would establish a grant program to improve the accessibility of rail systems by increasing the number of existing stations or facilities for passenger use that meet or exceed the Americans with Disabilities Act’s construction standards. The program would appropriate $10 billion over 10 years for these grants.</w:t>
      </w:r>
    </w:p>
    <w:p w:rsidR="00F52E7E" w:rsidRPr="00F52E7E" w:rsidRDefault="00F52E7E" w:rsidP="00F52E7E">
      <w:pPr>
        <w:rPr>
          <w:rFonts w:ascii="Verdana" w:hAnsi="Verdana"/>
          <w:bCs/>
          <w:iCs/>
          <w:sz w:val="28"/>
          <w:szCs w:val="28"/>
        </w:rPr>
      </w:pPr>
      <w:r w:rsidRPr="00F52E7E">
        <w:rPr>
          <w:rFonts w:ascii="Verdana" w:hAnsi="Verdana"/>
          <w:bCs/>
          <w:iCs/>
          <w:sz w:val="28"/>
          <w:szCs w:val="28"/>
        </w:rPr>
        <w:t>All transportation should be accessible to people with disabilities. This is important so people with disabilities can do things everyone else can. This includes going to work or school. It includes m</w:t>
      </w:r>
      <w:r w:rsidR="00F220FA">
        <w:rPr>
          <w:rFonts w:ascii="Verdana" w:hAnsi="Verdana"/>
          <w:bCs/>
          <w:iCs/>
          <w:sz w:val="28"/>
          <w:szCs w:val="28"/>
        </w:rPr>
        <w:t>eeting with friends and so</w:t>
      </w:r>
      <w:r w:rsidRPr="00F52E7E">
        <w:rPr>
          <w:rFonts w:ascii="Verdana" w:hAnsi="Verdana"/>
          <w:bCs/>
          <w:iCs/>
          <w:sz w:val="28"/>
          <w:szCs w:val="28"/>
        </w:rPr>
        <w:t xml:space="preserve"> many other things.</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Here are some very important things for people with disabilities:</w:t>
      </w:r>
    </w:p>
    <w:p w:rsidR="00F52E7E" w:rsidRPr="00F52E7E" w:rsidRDefault="00F52E7E" w:rsidP="00F52E7E">
      <w:pPr>
        <w:rPr>
          <w:rFonts w:ascii="Verdana" w:hAnsi="Verdana"/>
          <w:bCs/>
          <w:iCs/>
          <w:sz w:val="28"/>
          <w:szCs w:val="28"/>
        </w:rPr>
      </w:pP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The House of Representatives passed the </w:t>
      </w:r>
      <w:hyperlink r:id="rId22" w:tooltip="INVEST Act" w:history="1">
        <w:r w:rsidRPr="00F52E7E">
          <w:rPr>
            <w:rStyle w:val="Hyperlink"/>
            <w:rFonts w:ascii="Verdana" w:hAnsi="Verdana"/>
            <w:bCs/>
            <w:i/>
            <w:iCs/>
            <w:sz w:val="28"/>
            <w:szCs w:val="28"/>
          </w:rPr>
          <w:t>INVEST Act</w:t>
        </w:r>
      </w:hyperlink>
      <w:r w:rsidRPr="00F52E7E">
        <w:rPr>
          <w:rFonts w:ascii="Verdana" w:hAnsi="Verdana"/>
          <w:bCs/>
          <w:iCs/>
          <w:sz w:val="28"/>
          <w:szCs w:val="28"/>
        </w:rPr>
        <w:t xml:space="preserve"> (</w:t>
      </w:r>
      <w:r w:rsidRPr="00F52E7E">
        <w:rPr>
          <w:rFonts w:ascii="Verdana" w:hAnsi="Verdana"/>
          <w:bCs/>
          <w:i/>
          <w:iCs/>
          <w:sz w:val="28"/>
          <w:szCs w:val="28"/>
        </w:rPr>
        <w:t>H.R. 7095</w:t>
      </w:r>
      <w:r w:rsidRPr="00F52E7E">
        <w:rPr>
          <w:rFonts w:ascii="Verdana" w:hAnsi="Verdana"/>
          <w:bCs/>
          <w:iCs/>
          <w:sz w:val="28"/>
          <w:szCs w:val="28"/>
        </w:rPr>
        <w:t>). This is the “big transportation bill”. It is also known as the “surface transportation bill”. Congress passes one 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Medicaid pays for rides to the doctor for many disabled people. We need Congress to protect that so states cannot take it away. </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People with disabilities can have a very hard time on airplanes and trains. Wheelchair users can face unique problems. We must make this easier for people with all disabilities.</w:t>
      </w:r>
    </w:p>
    <w:p w:rsidR="00851502" w:rsidRPr="00851502" w:rsidRDefault="00F52E7E" w:rsidP="00851502">
      <w:pPr>
        <w:numPr>
          <w:ilvl w:val="0"/>
          <w:numId w:val="12"/>
        </w:numPr>
        <w:rPr>
          <w:rFonts w:ascii="Verdana" w:hAnsi="Verdana"/>
          <w:bCs/>
          <w:iCs/>
          <w:sz w:val="28"/>
          <w:szCs w:val="28"/>
        </w:rPr>
      </w:pPr>
      <w:r w:rsidRPr="00F52E7E">
        <w:rPr>
          <w:rFonts w:ascii="Verdana" w:hAnsi="Verdana"/>
          <w:bCs/>
          <w:iCs/>
          <w:sz w:val="28"/>
          <w:szCs w:val="28"/>
        </w:rPr>
        <w:t>There must be more accessible taxis and services like Uber (when you use a smartphone to get a ride). Everyone must be able to use them.</w:t>
      </w:r>
      <w:r w:rsidR="00851502" w:rsidRPr="00851502">
        <w:t xml:space="preserve"> </w:t>
      </w:r>
    </w:p>
    <w:p w:rsidR="00F52E7E" w:rsidRPr="00F52E7E" w:rsidRDefault="00851502" w:rsidP="00851502">
      <w:pPr>
        <w:numPr>
          <w:ilvl w:val="0"/>
          <w:numId w:val="12"/>
        </w:numPr>
        <w:rPr>
          <w:rFonts w:ascii="Verdana" w:hAnsi="Verdana"/>
          <w:bCs/>
          <w:iCs/>
          <w:sz w:val="28"/>
          <w:szCs w:val="28"/>
        </w:rPr>
      </w:pPr>
      <w:r w:rsidRPr="00851502">
        <w:rPr>
          <w:rFonts w:ascii="Verdana" w:hAnsi="Verdana"/>
          <w:bCs/>
          <w:iCs/>
          <w:sz w:val="28"/>
          <w:szCs w:val="28"/>
        </w:rPr>
        <w:t>The Federal Transit Administration (FTA), an agency within the U.S. Department of Transportation that provides assistance to local public transportation systems, recently announced a new funding opportunity called the Mobility for All Pilot Program. Approximately $3.5 million will go to projects that enhance mobility and access to community services for older adults, people with disabilities, and people with low income. You can find out more about these grants in the FTA’s notice of funding. Applications are due January 6, 2020.</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All these things will make America’s transportation fairer. With these changes, people with disabilities will have more choices. People with disabilities need the same choices as everyone else.</w:t>
      </w:r>
    </w:p>
    <w:p w:rsidR="00466468" w:rsidRDefault="00466468" w:rsidP="00F52E7E">
      <w:pPr>
        <w:rPr>
          <w:rFonts w:ascii="Verdana" w:hAnsi="Verdana"/>
          <w:sz w:val="28"/>
          <w:szCs w:val="28"/>
        </w:rPr>
      </w:pPr>
    </w:p>
    <w:p w:rsidR="00D95DE1" w:rsidRPr="00D24889" w:rsidRDefault="00D95DE1" w:rsidP="00D95DE1">
      <w:pPr>
        <w:rPr>
          <w:rFonts w:ascii="Verdana" w:hAnsi="Verdana"/>
          <w:b/>
          <w:sz w:val="28"/>
          <w:szCs w:val="28"/>
        </w:rPr>
      </w:pPr>
      <w:r w:rsidRPr="00D24889">
        <w:rPr>
          <w:rFonts w:ascii="Verdana" w:hAnsi="Verdana"/>
          <w:b/>
          <w:sz w:val="28"/>
          <w:szCs w:val="28"/>
        </w:rPr>
        <w:t>Employment</w:t>
      </w:r>
    </w:p>
    <w:p w:rsidR="00D95DE1" w:rsidRPr="00AC0B44" w:rsidRDefault="00D95DE1" w:rsidP="00D95DE1">
      <w:pPr>
        <w:rPr>
          <w:rFonts w:ascii="Verdana" w:hAnsi="Verdana"/>
          <w:sz w:val="28"/>
          <w:szCs w:val="28"/>
        </w:rPr>
      </w:pPr>
    </w:p>
    <w:p w:rsidR="00D95DE1" w:rsidRPr="00AC0B44" w:rsidRDefault="00D95DE1" w:rsidP="00D95DE1">
      <w:pPr>
        <w:rPr>
          <w:rFonts w:ascii="Verdana" w:hAnsi="Verdana"/>
          <w:sz w:val="28"/>
          <w:szCs w:val="28"/>
        </w:rPr>
      </w:pPr>
      <w:r w:rsidRPr="00AC0B44">
        <w:rPr>
          <w:rFonts w:ascii="Verdana" w:hAnsi="Verdana"/>
          <w:sz w:val="28"/>
          <w:szCs w:val="28"/>
        </w:rPr>
        <w:t>Last month, the Better Care Better Jobs Act (PDF), H.R. 4131 / S. 2210, was introduced in Congress. The effort was led by Senator Casey (D-PA), Senate Majority Leader Schumer (D-NY), Senator Wyden (D-OR), Senator Murray (D-WA), Senator Duckworth (D-IL), Senator Hassan (D-NH), and Senator Brown (D-OH) in the Senate, and Congresswoman Dingell (D-MI), Congressman Pallone (D-NJ), Congresswoman Schakowsky (D-IL), and Congresswoman Matsui (D-CA) in the House. NCIL supports this bill’s efforts to transform the long term services and supports (LTSS) landscape.</w:t>
      </w:r>
    </w:p>
    <w:p w:rsidR="00D95DE1" w:rsidRPr="00AC0B44" w:rsidRDefault="00D95DE1" w:rsidP="00D95DE1">
      <w:pPr>
        <w:rPr>
          <w:rFonts w:ascii="Verdana" w:hAnsi="Verdana"/>
          <w:sz w:val="28"/>
          <w:szCs w:val="28"/>
        </w:rPr>
      </w:pPr>
    </w:p>
    <w:p w:rsidR="00D95DE1" w:rsidRPr="00AC0B44" w:rsidRDefault="00D95DE1" w:rsidP="00D95DE1">
      <w:pPr>
        <w:rPr>
          <w:rFonts w:ascii="Verdana" w:hAnsi="Verdana"/>
          <w:sz w:val="28"/>
          <w:szCs w:val="28"/>
        </w:rPr>
      </w:pPr>
      <w:r w:rsidRPr="00AC0B44">
        <w:rPr>
          <w:rFonts w:ascii="Verdana" w:hAnsi="Verdana"/>
          <w:sz w:val="28"/>
          <w:szCs w:val="28"/>
        </w:rPr>
        <w:t>The Better Care Better Jobs Act (BCBJA) would enact President Biden’s American Jobs Plan. The Jobs Plan proposes to spend $400 billion to expand access to home and community based supports and services. The Jobs Plan would invest in the direct support workforce. The BCBJA provides a way to put that plan into motion. The BCBJA would provide states with opportunities to receive enhanced funding to improve their Home and Community Based Services (HCBS) systems.</w:t>
      </w:r>
    </w:p>
    <w:p w:rsidR="00D95DE1" w:rsidRPr="00AC0B44" w:rsidRDefault="00D95DE1" w:rsidP="00D95DE1">
      <w:pPr>
        <w:rPr>
          <w:rFonts w:ascii="Verdana" w:hAnsi="Verdana"/>
          <w:sz w:val="28"/>
          <w:szCs w:val="28"/>
        </w:rPr>
      </w:pPr>
    </w:p>
    <w:p w:rsidR="00D95DE1" w:rsidRPr="00AC0B44" w:rsidRDefault="00D95DE1" w:rsidP="00D95DE1">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The system that provides supports and services for people with intellectual and developmental disabilities (IDD) and their families has fallen far short of their needs for decades, and the COVID-19 pandemic exposed and worsened this reality.</w:t>
      </w:r>
    </w:p>
    <w:p w:rsidR="00D95DE1" w:rsidRPr="00AC0B44" w:rsidRDefault="00D95DE1" w:rsidP="00D95DE1">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The Better Care Better Jobs Act (BCBJA) introduced today will make a huge investment necessary to change disability services into the future. This bill puts into motion the proposals that were included in President Biden’s American Jobs Plan, which prioritizes the crumbling care infrastructure in this country and recognizes the importance of fixing it and building back for the future.</w:t>
      </w:r>
    </w:p>
    <w:p w:rsidR="00D95DE1" w:rsidRPr="00AC0B44" w:rsidRDefault="00D95DE1" w:rsidP="00D95DE1">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“Every day, people with disabilities are waiting for their lives to start and often going without the supports they need to achieve their goals. Families that want a different life than an institution or nursing home are forced to navigate a patchwork system of supports with waits and no guarantees. Family members are often forced to either quit or limit their job choices to provide care due to lack of services. And the direct care workforce is underpaid and undervalued.</w:t>
      </w:r>
    </w:p>
    <w:p w:rsidR="00D95DE1" w:rsidRPr="00AC0B44" w:rsidRDefault="00D95DE1" w:rsidP="00D95DE1">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“We are desperately overdue for a huge investment in disability services. The Better Care Better Jobs Act introduced today will be a game-changer and </w:t>
      </w:r>
      <w:hyperlink r:id="rId23" w:history="1">
        <w:r w:rsidRPr="00D95DE1">
          <w:rPr>
            <w:rStyle w:val="Hyperlink"/>
            <w:rFonts w:ascii="Verdana" w:hAnsi="Verdana"/>
            <w:color w:val="auto"/>
            <w:sz w:val="28"/>
            <w:szCs w:val="28"/>
            <w:u w:val="none"/>
            <w:bdr w:val="none" w:sz="0" w:space="0" w:color="auto" w:frame="1"/>
          </w:rPr>
          <w:t>must be enacted quickly</w:t>
        </w:r>
      </w:hyperlink>
      <w:r w:rsidRPr="00AC0B44">
        <w:rPr>
          <w:rFonts w:ascii="Verdana" w:hAnsi="Verdana"/>
          <w:sz w:val="28"/>
          <w:szCs w:val="28"/>
        </w:rPr>
        <w:t xml:space="preserve"> for the disability community to be a part of our economic recovery from this disastrous pandemic,” said Peter </w:t>
      </w:r>
      <w:proofErr w:type="spellStart"/>
      <w:r w:rsidRPr="00AC0B44">
        <w:rPr>
          <w:rFonts w:ascii="Verdana" w:hAnsi="Verdana"/>
          <w:sz w:val="28"/>
          <w:szCs w:val="28"/>
        </w:rPr>
        <w:t>Berns</w:t>
      </w:r>
      <w:proofErr w:type="spellEnd"/>
      <w:r w:rsidRPr="00AC0B44">
        <w:rPr>
          <w:rFonts w:ascii="Verdana" w:hAnsi="Verdana"/>
          <w:sz w:val="28"/>
          <w:szCs w:val="28"/>
        </w:rPr>
        <w:t>, CEO, The Arc.</w:t>
      </w:r>
    </w:p>
    <w:p w:rsidR="00D95DE1" w:rsidRPr="00AC0B44" w:rsidRDefault="00D95DE1" w:rsidP="00D95DE1">
      <w:pPr>
        <w:pStyle w:val="NormalWeb"/>
        <w:shd w:val="clear" w:color="auto" w:fill="FFFFFF"/>
        <w:spacing w:before="0" w:beforeAutospacing="0" w:after="0" w:afterAutospacing="0"/>
        <w:textAlignment w:val="baseline"/>
        <w:rPr>
          <w:rFonts w:ascii="Verdana" w:hAnsi="Verdana"/>
          <w:sz w:val="28"/>
          <w:szCs w:val="28"/>
        </w:rPr>
      </w:pPr>
      <w:r w:rsidRPr="00AC0B44">
        <w:rPr>
          <w:rFonts w:ascii="Verdana" w:hAnsi="Verdana"/>
          <w:sz w:val="28"/>
          <w:szCs w:val="28"/>
        </w:rPr>
        <w:t>When the BCBJA becomes law, it will provide huge funding enhancements to states which focus on improving and expanding their Medicaid home and community-based services (HCBS) delivery system. The bill would provide funding to expand access to services for people who are currently on waiting lists for these vital services, and create more and better direct care jobs for the paid workforce that provides these services.</w:t>
      </w:r>
    </w:p>
    <w:p w:rsidR="00D95DE1" w:rsidRDefault="00D95DE1" w:rsidP="00F52E7E">
      <w:pPr>
        <w:rPr>
          <w:rFonts w:ascii="Verdana" w:hAnsi="Verdana"/>
          <w:sz w:val="28"/>
          <w:szCs w:val="28"/>
        </w:rPr>
      </w:pPr>
    </w:p>
    <w:p w:rsidR="00466468" w:rsidRPr="00F52E7E" w:rsidRDefault="00466468" w:rsidP="00F52E7E">
      <w:pPr>
        <w:rPr>
          <w:rFonts w:ascii="Verdana" w:hAnsi="Verdana"/>
          <w:sz w:val="28"/>
          <w:szCs w:val="28"/>
        </w:rPr>
      </w:pPr>
      <w:r>
        <w:rPr>
          <w:rFonts w:ascii="Verdana" w:hAnsi="Verdana"/>
          <w:sz w:val="28"/>
          <w:szCs w:val="28"/>
        </w:rPr>
        <w:t>Disclosure and credit: This legislative report contains information from different entities including NCIL policy priorities, APRIL, and other shared information.</w:t>
      </w:r>
    </w:p>
    <w:sectPr w:rsidR="00466468" w:rsidRPr="00F5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F0D"/>
    <w:multiLevelType w:val="hybridMultilevel"/>
    <w:tmpl w:val="D64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2292"/>
    <w:multiLevelType w:val="hybridMultilevel"/>
    <w:tmpl w:val="FCCE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C75"/>
    <w:multiLevelType w:val="hybridMultilevel"/>
    <w:tmpl w:val="771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BA0"/>
    <w:multiLevelType w:val="hybridMultilevel"/>
    <w:tmpl w:val="30D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44746"/>
    <w:multiLevelType w:val="hybridMultilevel"/>
    <w:tmpl w:val="146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B2C36"/>
    <w:multiLevelType w:val="hybridMultilevel"/>
    <w:tmpl w:val="BA86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678BD"/>
    <w:multiLevelType w:val="multilevel"/>
    <w:tmpl w:val="8F52B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7F3474"/>
    <w:multiLevelType w:val="hybridMultilevel"/>
    <w:tmpl w:val="088E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B6912"/>
    <w:multiLevelType w:val="hybridMultilevel"/>
    <w:tmpl w:val="68E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F4069"/>
    <w:multiLevelType w:val="hybridMultilevel"/>
    <w:tmpl w:val="7AF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7B8"/>
    <w:multiLevelType w:val="hybridMultilevel"/>
    <w:tmpl w:val="E80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860C5"/>
    <w:multiLevelType w:val="hybridMultilevel"/>
    <w:tmpl w:val="6D2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D4758"/>
    <w:multiLevelType w:val="hybridMultilevel"/>
    <w:tmpl w:val="680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1"/>
  </w:num>
  <w:num w:numId="5">
    <w:abstractNumId w:val="16"/>
  </w:num>
  <w:num w:numId="6">
    <w:abstractNumId w:val="14"/>
  </w:num>
  <w:num w:numId="7">
    <w:abstractNumId w:val="12"/>
  </w:num>
  <w:num w:numId="8">
    <w:abstractNumId w:val="1"/>
  </w:num>
  <w:num w:numId="9">
    <w:abstractNumId w:val="4"/>
  </w:num>
  <w:num w:numId="10">
    <w:abstractNumId w:val="13"/>
  </w:num>
  <w:num w:numId="11">
    <w:abstractNumId w:val="15"/>
  </w:num>
  <w:num w:numId="12">
    <w:abstractNumId w:val="2"/>
  </w:num>
  <w:num w:numId="13">
    <w:abstractNumId w:val="10"/>
  </w:num>
  <w:num w:numId="14">
    <w:abstractNumId w:val="6"/>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6"/>
    <w:rsid w:val="0008660D"/>
    <w:rsid w:val="000B34DD"/>
    <w:rsid w:val="00116385"/>
    <w:rsid w:val="001335A1"/>
    <w:rsid w:val="00173466"/>
    <w:rsid w:val="001877F7"/>
    <w:rsid w:val="00206C52"/>
    <w:rsid w:val="002B29DD"/>
    <w:rsid w:val="002D3F0C"/>
    <w:rsid w:val="002F3160"/>
    <w:rsid w:val="00310BF1"/>
    <w:rsid w:val="003652DA"/>
    <w:rsid w:val="0038682B"/>
    <w:rsid w:val="00397AB9"/>
    <w:rsid w:val="0041065A"/>
    <w:rsid w:val="00466468"/>
    <w:rsid w:val="00476833"/>
    <w:rsid w:val="005711D4"/>
    <w:rsid w:val="005A0501"/>
    <w:rsid w:val="00647FB0"/>
    <w:rsid w:val="006D759E"/>
    <w:rsid w:val="00727445"/>
    <w:rsid w:val="00740AB3"/>
    <w:rsid w:val="00794A1C"/>
    <w:rsid w:val="007C183D"/>
    <w:rsid w:val="00851502"/>
    <w:rsid w:val="00862F62"/>
    <w:rsid w:val="00872CDD"/>
    <w:rsid w:val="00877F81"/>
    <w:rsid w:val="00935F13"/>
    <w:rsid w:val="0094051F"/>
    <w:rsid w:val="00952C47"/>
    <w:rsid w:val="00A31F73"/>
    <w:rsid w:val="00A76E99"/>
    <w:rsid w:val="00A773A7"/>
    <w:rsid w:val="00AB1A4A"/>
    <w:rsid w:val="00AE4B7D"/>
    <w:rsid w:val="00B01026"/>
    <w:rsid w:val="00B109FC"/>
    <w:rsid w:val="00B338F2"/>
    <w:rsid w:val="00B65E5F"/>
    <w:rsid w:val="00B70FC1"/>
    <w:rsid w:val="00D138D1"/>
    <w:rsid w:val="00D13AA3"/>
    <w:rsid w:val="00D24889"/>
    <w:rsid w:val="00D92BAD"/>
    <w:rsid w:val="00D95DE1"/>
    <w:rsid w:val="00E0605E"/>
    <w:rsid w:val="00E22821"/>
    <w:rsid w:val="00E43540"/>
    <w:rsid w:val="00F220FA"/>
    <w:rsid w:val="00F2227D"/>
    <w:rsid w:val="00F52E7E"/>
    <w:rsid w:val="00FA3367"/>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B5A1"/>
  <w15:chartTrackingRefBased/>
  <w15:docId w15:val="{95E4FCEF-247E-413D-AAC2-039C455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62F6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768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026"/>
    <w:rPr>
      <w:color w:val="0000FF"/>
      <w:u w:val="single"/>
    </w:rPr>
  </w:style>
  <w:style w:type="character" w:styleId="Emphasis">
    <w:name w:val="Emphasis"/>
    <w:basedOn w:val="DefaultParagraphFont"/>
    <w:uiPriority w:val="20"/>
    <w:qFormat/>
    <w:rsid w:val="00862F62"/>
    <w:rPr>
      <w:i/>
      <w:iCs/>
    </w:rPr>
  </w:style>
  <w:style w:type="character" w:customStyle="1" w:styleId="Heading1Char">
    <w:name w:val="Heading 1 Char"/>
    <w:basedOn w:val="DefaultParagraphFont"/>
    <w:link w:val="Heading1"/>
    <w:uiPriority w:val="9"/>
    <w:rsid w:val="00862F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6E99"/>
    <w:rPr>
      <w:b/>
      <w:bCs/>
    </w:rPr>
  </w:style>
  <w:style w:type="paragraph" w:styleId="ListParagraph">
    <w:name w:val="List Paragraph"/>
    <w:basedOn w:val="Normal"/>
    <w:uiPriority w:val="34"/>
    <w:qFormat/>
    <w:rsid w:val="005711D4"/>
    <w:pPr>
      <w:ind w:left="720"/>
      <w:contextualSpacing/>
    </w:pPr>
  </w:style>
  <w:style w:type="character" w:customStyle="1" w:styleId="Heading2Char">
    <w:name w:val="Heading 2 Char"/>
    <w:basedOn w:val="DefaultParagraphFont"/>
    <w:link w:val="Heading2"/>
    <w:uiPriority w:val="9"/>
    <w:semiHidden/>
    <w:rsid w:val="0047683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0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1F"/>
    <w:rPr>
      <w:rFonts w:ascii="Segoe UI" w:hAnsi="Segoe UI" w:cs="Segoe UI"/>
      <w:sz w:val="18"/>
      <w:szCs w:val="18"/>
    </w:rPr>
  </w:style>
  <w:style w:type="paragraph" w:styleId="NormalWeb">
    <w:name w:val="Normal (Web)"/>
    <w:basedOn w:val="Normal"/>
    <w:uiPriority w:val="99"/>
    <w:unhideWhenUsed/>
    <w:rsid w:val="000B34DD"/>
    <w:pPr>
      <w:spacing w:before="100" w:beforeAutospacing="1" w:after="100" w:afterAutospacing="1"/>
    </w:pPr>
    <w:rPr>
      <w:rFonts w:eastAsia="Times New Roman"/>
    </w:rPr>
  </w:style>
  <w:style w:type="character" w:customStyle="1" w:styleId="Date1">
    <w:name w:val="Date1"/>
    <w:basedOn w:val="DefaultParagraphFont"/>
    <w:rsid w:val="00E43540"/>
  </w:style>
  <w:style w:type="character" w:customStyle="1" w:styleId="fn">
    <w:name w:val="fn"/>
    <w:basedOn w:val="DefaultParagraphFont"/>
    <w:rsid w:val="00E43540"/>
  </w:style>
  <w:style w:type="character" w:customStyle="1" w:styleId="post-comments">
    <w:name w:val="post-comments"/>
    <w:basedOn w:val="DefaultParagraphFont"/>
    <w:rsid w:val="00E4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68414">
      <w:bodyDiv w:val="1"/>
      <w:marLeft w:val="0"/>
      <w:marRight w:val="0"/>
      <w:marTop w:val="0"/>
      <w:marBottom w:val="0"/>
      <w:divBdr>
        <w:top w:val="none" w:sz="0" w:space="0" w:color="auto"/>
        <w:left w:val="none" w:sz="0" w:space="0" w:color="auto"/>
        <w:bottom w:val="none" w:sz="0" w:space="0" w:color="auto"/>
        <w:right w:val="none" w:sz="0" w:space="0" w:color="auto"/>
      </w:divBdr>
    </w:div>
    <w:div w:id="798063707">
      <w:bodyDiv w:val="1"/>
      <w:marLeft w:val="0"/>
      <w:marRight w:val="0"/>
      <w:marTop w:val="0"/>
      <w:marBottom w:val="0"/>
      <w:divBdr>
        <w:top w:val="none" w:sz="0" w:space="0" w:color="auto"/>
        <w:left w:val="none" w:sz="0" w:space="0" w:color="auto"/>
        <w:bottom w:val="none" w:sz="0" w:space="0" w:color="auto"/>
        <w:right w:val="none" w:sz="0" w:space="0" w:color="auto"/>
      </w:divBdr>
    </w:div>
    <w:div w:id="1210537356">
      <w:bodyDiv w:val="1"/>
      <w:marLeft w:val="0"/>
      <w:marRight w:val="0"/>
      <w:marTop w:val="0"/>
      <w:marBottom w:val="0"/>
      <w:divBdr>
        <w:top w:val="none" w:sz="0" w:space="0" w:color="auto"/>
        <w:left w:val="none" w:sz="0" w:space="0" w:color="auto"/>
        <w:bottom w:val="none" w:sz="0" w:space="0" w:color="auto"/>
        <w:right w:val="none" w:sz="0" w:space="0" w:color="auto"/>
      </w:divBdr>
    </w:div>
    <w:div w:id="2032338882">
      <w:bodyDiv w:val="1"/>
      <w:marLeft w:val="0"/>
      <w:marRight w:val="0"/>
      <w:marTop w:val="0"/>
      <w:marBottom w:val="0"/>
      <w:divBdr>
        <w:top w:val="none" w:sz="0" w:space="0" w:color="auto"/>
        <w:left w:val="none" w:sz="0" w:space="0" w:color="auto"/>
        <w:bottom w:val="none" w:sz="0" w:space="0" w:color="auto"/>
        <w:right w:val="none" w:sz="0" w:space="0" w:color="auto"/>
      </w:divBdr>
    </w:div>
    <w:div w:id="21320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house.gov/billsthisweek/20201221/BILLS-116RCP68-JES-DIVISION-H.pdf" TargetMode="External"/><Relationship Id="rId13" Type="http://schemas.openxmlformats.org/officeDocument/2006/relationships/hyperlink" Target="https://nam10.safelinks.protection.outlook.com/?url=http%3A%2F%2Fwww.thearc.org%2F&amp;data=04%7C01%7CMcKiernan%40TheArc.org%7C6ee1c6ae5a214157b68f08d920705f0d%7C1508d6ca4350484cbe3aea487e334b0e%7C0%7C1%7C637576489283335075%7CUnknown%7CTWFpbGZsb3d8eyJWIjoiMC4wLjAwMDAiLCJQIjoiV2luMzIiLCJBTiI6Ik1haWwiLCJXVCI6Mn0%3D%7C2000&amp;sdata=19cVKbruo396wuys6weocPaQLfwBfI3p0Yrrd7OHJgw%3D&amp;reserved=0" TargetMode="External"/><Relationship Id="rId18" Type="http://schemas.openxmlformats.org/officeDocument/2006/relationships/hyperlink" Target="https://nam10.safelinks.protection.outlook.com/?url=http%3A%2F%2Fnationalsclc.org%2Fabout%2Fhistory%2F&amp;data=04%7C01%7CMcKiernan%40TheArc.org%7C6ee1c6ae5a214157b68f08d920705f0d%7C1508d6ca4350484cbe3aea487e334b0e%7C0%7C1%7C637576489283354985%7CUnknown%7CTWFpbGZsb3d8eyJWIjoiMC4wLjAwMDAiLCJQIjoiV2luMzIiLCJBTiI6Ik1haWwiLCJXVCI6Mn0%3D%7C2000&amp;sdata=Fy%2FnlKUILYk57xwnfj6dYvZ%2BLqOhfGSyTqqIKgKMN9E%3D&amp;reserved=0" TargetMode="External"/><Relationship Id="rId3" Type="http://schemas.openxmlformats.org/officeDocument/2006/relationships/styles" Target="styles.xml"/><Relationship Id="rId21" Type="http://schemas.openxmlformats.org/officeDocument/2006/relationships/hyperlink" Target="https://www.congress.gov/bill/117th-congress/senate-bill/1680/text?r=17&amp;s=1" TargetMode="External"/><Relationship Id="rId7" Type="http://schemas.openxmlformats.org/officeDocument/2006/relationships/hyperlink" Target="https://rules.house.gov/bill/116/hr-133-sa" TargetMode="External"/><Relationship Id="rId12" Type="http://schemas.openxmlformats.org/officeDocument/2006/relationships/hyperlink" Target="https://nam10.safelinks.protection.outlook.com/?url=http%3A%2F%2Fga.thearc.org%2F&amp;data=04%7C01%7CMcKiernan%40TheArc.org%7C6ee1c6ae5a214157b68f08d920705f0d%7C1508d6ca4350484cbe3aea487e334b0e%7C0%7C1%7C637576489283335075%7CUnknown%7CTWFpbGZsb3d8eyJWIjoiMC4wLjAwMDAiLCJQIjoiV2luMzIiLCJBTiI6Ik1haWwiLCJXVCI6Mn0%3D%7C2000&amp;sdata=%2FL1nkSEiLD79R3RxsuyqfsK65GaCA3pk9HTLDVvwvi4%3D&amp;reserved=0" TargetMode="External"/><Relationship Id="rId17" Type="http://schemas.openxmlformats.org/officeDocument/2006/relationships/hyperlink" Target="https://nam10.safelinks.protection.outlook.com/?url=http%3A%2F%2Fwww.splcenter.org%2Fsites%2Fdefault%2Ffiles%2F083_ame_et_al_fac.pdf&amp;data=04%7C01%7CMcKiernan%40TheArc.org%7C6ee1c6ae5a214157b68f08d920705f0d%7C1508d6ca4350484cbe3aea487e334b0e%7C0%7C1%7C637576489283354985%7CUnknown%7CTWFpbGZsb3d8eyJWIjoiMC4wLjAwMDAiLCJQIjoiV2luMzIiLCJBTiI6Ik1haWwiLCJXVCI6Mn0%3D%7C2000&amp;sdata=tCQDnedgnrMk1v6FWAKcJXBGhfbpY33UezCKl1KN6Uo%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0.safelinks.protection.outlook.com/?url=http%3A%2F%2Fwww.splcactionfund.org%2Fpress-center%2Fsplc-action-fund-within-one-afternoon-monumental-shift-georgia-election-law-codify-2020&amp;data=04%7C01%7CMcKiernan%40TheArc.org%7C6ee1c6ae5a214157b68f08d920705f0d%7C1508d6ca4350484cbe3aea487e334b0e%7C0%7C1%7C637576489283345029%7CUnknown%7CTWFpbGZsb3d8eyJWIjoiMC4wLjAwMDAiLCJQIjoiV2luMzIiLCJBTiI6Ik1haWwiLCJXVCI6Mn0%3D%7C2000&amp;sdata=mcfKph540zeGJwvmTvEpD2hgoOfpP9Ge9Xd%2BRFaKzEg%3D&amp;reserved=0" TargetMode="External"/><Relationship Id="rId20" Type="http://schemas.openxmlformats.org/officeDocument/2006/relationships/hyperlink" Target="https://www.hud.gov/program_offices/public_indian_housing/programs/hcv/homeownership" TargetMode="External"/><Relationship Id="rId1" Type="http://schemas.openxmlformats.org/officeDocument/2006/relationships/customXml" Target="../customXml/item1.xml"/><Relationship Id="rId6" Type="http://schemas.openxmlformats.org/officeDocument/2006/relationships/hyperlink" Target="https://rules.house.gov/sites/democrats.rules.house.gov/files/BILLS-116HR133SA-RCP-116-68.pdf" TargetMode="External"/><Relationship Id="rId11" Type="http://schemas.openxmlformats.org/officeDocument/2006/relationships/hyperlink" Target="https://aahd.us/dissemination/covid-19-and-vaccine-survey-proj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0.safelinks.protection.outlook.com/?url=http%3A%2F%2Fthegao.org%2F&amp;data=04%7C01%7CMcKiernan%40TheArc.org%7C6ee1c6ae5a214157b68f08d920705f0d%7C1508d6ca4350484cbe3aea487e334b0e%7C0%7C1%7C637576489283345029%7CUnknown%7CTWFpbGZsb3d8eyJWIjoiMC4wLjAwMDAiLCJQIjoiV2luMzIiLCJBTiI6Ik1haWwiLCJXVCI6Mn0%3D%7C2000&amp;sdata=Iy83l0dBLOFlbfgFervPXgctQsy7rNNxXh%2FVhfUI5XQ%3D&amp;reserved=0" TargetMode="External"/><Relationship Id="rId23" Type="http://schemas.openxmlformats.org/officeDocument/2006/relationships/hyperlink" Target="https://p2a.co/IAFTwCz" TargetMode="External"/><Relationship Id="rId10" Type="http://schemas.openxmlformats.org/officeDocument/2006/relationships/hyperlink" Target="https://appropriations.house.gov/sites/democrats.appropriations.house.gov/files/Summary%20of%20H.R.%20133%20Coronavirus%20Relief%20Provisions.pdf" TargetMode="External"/><Relationship Id="rId19" Type="http://schemas.openxmlformats.org/officeDocument/2006/relationships/hyperlink" Target="https://nam10.safelinks.protection.outlook.com/?url=http%3A%2F%2Fwww.splcenter.org%2Fsites%2Fdefault%2Ffiles%2F083_ame_et_al_fac.pdf&amp;data=04%7C01%7CMcKiernan%40TheArc.org%7C6ee1c6ae5a214157b68f08d920705f0d%7C1508d6ca4350484cbe3aea487e334b0e%7C0%7C1%7C637576489283364944%7CUnknown%7CTWFpbGZsb3d8eyJWIjoiMC4wLjAwMDAiLCJQIjoiV2luMzIiLCJBTiI6Ik1haWwiLCJXVCI6Mn0%3D%7C2000&amp;sdata=mf96HeMjT8sp9Wr7pJl3cmtoajWHwJdrW8%2FLmg6xDh0%3D&amp;reserved=0" TargetMode="External"/><Relationship Id="rId4" Type="http://schemas.openxmlformats.org/officeDocument/2006/relationships/settings" Target="settings.xml"/><Relationship Id="rId9" Type="http://schemas.openxmlformats.org/officeDocument/2006/relationships/hyperlink" Target="https://appropriations.house.gov/sites/democrats.appropriations.house.gov/files/Summary%20of%20H.R.%20133%20Appropriations%20Provisions.pdf" TargetMode="External"/><Relationship Id="rId14" Type="http://schemas.openxmlformats.org/officeDocument/2006/relationships/hyperlink" Target="https://nam10.safelinks.protection.outlook.com/?url=https%3A%2F%2Fm.facebook.com%2FGeorgiaADAPT&amp;data=04%7C01%7CMcKiernan%40TheArc.org%7C6ee1c6ae5a214157b68f08d920705f0d%7C1508d6ca4350484cbe3aea487e334b0e%7C0%7C1%7C637576489283345029%7CUnknown%7CTWFpbGZsb3d8eyJWIjoiMC4wLjAwMDAiLCJQIjoiV2luMzIiLCJBTiI6Ik1haWwiLCJXVCI6Mn0%3D%7C2000&amp;sdata=m5ErCQGtjQoEMYPPT3yvkBMIB1YjOYrdK1X2VpZwsRI%3D&amp;reserved=0" TargetMode="External"/><Relationship Id="rId22" Type="http://schemas.openxmlformats.org/officeDocument/2006/relationships/hyperlink" Target="https://www.congress.gov/bill/116th-congress/house-bill/7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428B-6651-4B61-B4CE-159BE0C9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Nina Colman</cp:lastModifiedBy>
  <cp:revision>2</cp:revision>
  <cp:lastPrinted>2020-08-06T18:22:00Z</cp:lastPrinted>
  <dcterms:created xsi:type="dcterms:W3CDTF">2021-07-09T19:26:00Z</dcterms:created>
  <dcterms:modified xsi:type="dcterms:W3CDTF">2021-07-09T19:26:00Z</dcterms:modified>
</cp:coreProperties>
</file>